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c8c7e81019c244b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A3B40" w14:textId="77777777" w:rsidR="00100534" w:rsidRPr="00D8620E" w:rsidRDefault="00100534" w:rsidP="00100534">
      <w:pPr>
        <w:spacing w:after="0" w:line="300" w:lineRule="auto"/>
        <w:jc w:val="center"/>
        <w:rPr>
          <w:rFonts w:ascii="Times New Roman" w:hAnsi="Times New Roman"/>
          <w:b/>
          <w:sz w:val="24"/>
          <w:szCs w:val="24"/>
          <w:lang w:val="nl-NL"/>
        </w:rPr>
      </w:pPr>
      <w:r w:rsidRPr="00D8620E">
        <w:rPr>
          <w:rFonts w:ascii="Times New Roman" w:hAnsi="Times New Roman"/>
          <w:b/>
          <w:sz w:val="24"/>
          <w:szCs w:val="24"/>
          <w:lang w:val="nl-NL"/>
        </w:rPr>
        <w:t>Phụ lục số 28</w:t>
      </w:r>
    </w:p>
    <w:p w14:paraId="4D1FBFB8" w14:textId="77777777" w:rsidR="00100534" w:rsidRPr="00D8620E" w:rsidRDefault="00100534" w:rsidP="00100534">
      <w:pPr>
        <w:spacing w:after="0" w:line="300" w:lineRule="auto"/>
        <w:jc w:val="center"/>
        <w:rPr>
          <w:rFonts w:ascii="Times New Roman" w:hAnsi="Times New Roman"/>
          <w:b/>
          <w:sz w:val="24"/>
          <w:szCs w:val="24"/>
          <w:lang w:val="nl-NL"/>
        </w:rPr>
      </w:pPr>
      <w:r w:rsidRPr="00D8620E">
        <w:rPr>
          <w:rFonts w:ascii="Times New Roman" w:hAnsi="Times New Roman"/>
          <w:b/>
          <w:sz w:val="24"/>
          <w:szCs w:val="24"/>
          <w:lang w:val="nl-NL"/>
        </w:rPr>
        <w:t>Nội dung Báo cáo tổng kết hoạt động quản lý quỹ</w:t>
      </w:r>
    </w:p>
    <w:p w14:paraId="560ADBE5" w14:textId="77777777" w:rsidR="00100534" w:rsidRPr="00D8620E" w:rsidRDefault="00100534" w:rsidP="00100534">
      <w:pPr>
        <w:spacing w:after="0" w:line="300" w:lineRule="auto"/>
        <w:jc w:val="center"/>
        <w:rPr>
          <w:rFonts w:ascii="Times New Roman" w:hAnsi="Times New Roman"/>
          <w:i/>
          <w:sz w:val="24"/>
          <w:szCs w:val="24"/>
          <w:lang w:val="nl-NL"/>
        </w:rPr>
      </w:pPr>
      <w:r w:rsidRPr="00D8620E">
        <w:rPr>
          <w:rFonts w:ascii="Times New Roman" w:hAnsi="Times New Roman"/>
          <w:i/>
          <w:sz w:val="24"/>
          <w:szCs w:val="24"/>
          <w:lang w:val="nl-NL"/>
        </w:rPr>
        <w:t>(ban hành kèm theo Thông tư hướng dẫn về việc thành lập và quản lý quỹ mở)</w:t>
      </w:r>
    </w:p>
    <w:p w14:paraId="79A2C92A" w14:textId="77777777" w:rsidR="00100534" w:rsidRPr="00D8620E" w:rsidRDefault="00100534" w:rsidP="00100534">
      <w:pPr>
        <w:spacing w:after="0" w:line="300" w:lineRule="auto"/>
        <w:jc w:val="center"/>
        <w:rPr>
          <w:rFonts w:ascii="Times New Roman" w:hAnsi="Times New Roman"/>
          <w:b/>
          <w:sz w:val="24"/>
          <w:szCs w:val="24"/>
          <w:lang w:val="nl-NL"/>
        </w:rPr>
      </w:pPr>
    </w:p>
    <w:p w14:paraId="750C3C74" w14:textId="77777777" w:rsidR="00100534" w:rsidRPr="00D8620E" w:rsidRDefault="00100534" w:rsidP="00100534">
      <w:pPr>
        <w:spacing w:after="0" w:line="300" w:lineRule="auto"/>
        <w:jc w:val="center"/>
        <w:rPr>
          <w:rFonts w:ascii="Times New Roman" w:hAnsi="Times New Roman"/>
          <w:b/>
          <w:sz w:val="24"/>
          <w:szCs w:val="24"/>
          <w:lang w:val="nl-NL"/>
        </w:rPr>
      </w:pPr>
      <w:r w:rsidRPr="00D8620E">
        <w:rPr>
          <w:rFonts w:ascii="Times New Roman" w:hAnsi="Times New Roman"/>
          <w:b/>
          <w:sz w:val="24"/>
          <w:szCs w:val="24"/>
          <w:lang w:val="nl-NL"/>
        </w:rPr>
        <w:t>BÁO CÁO TỔNG KẾT HOẠT ĐỘNG QUẢN LÝ QUỸ</w:t>
      </w:r>
    </w:p>
    <w:p w14:paraId="71781311" w14:textId="77777777" w:rsidR="00100534" w:rsidRPr="00D8620E" w:rsidRDefault="00100534" w:rsidP="00100534">
      <w:pPr>
        <w:spacing w:after="0" w:line="300" w:lineRule="auto"/>
        <w:jc w:val="center"/>
        <w:rPr>
          <w:rFonts w:ascii="Times New Roman" w:hAnsi="Times New Roman"/>
          <w:i/>
          <w:sz w:val="24"/>
          <w:szCs w:val="24"/>
          <w:lang w:val="nl-NL"/>
        </w:rPr>
      </w:pPr>
      <w:r w:rsidRPr="00D8620E">
        <w:rPr>
          <w:rFonts w:ascii="Times New Roman" w:hAnsi="Times New Roman"/>
          <w:i/>
          <w:sz w:val="24"/>
          <w:szCs w:val="24"/>
          <w:lang w:val="nl-NL"/>
        </w:rPr>
        <w:t>(</w:t>
      </w:r>
      <w:r w:rsidR="00CE15F6" w:rsidRPr="00D8620E">
        <w:rPr>
          <w:rFonts w:ascii="Times New Roman" w:hAnsi="Times New Roman"/>
          <w:i/>
          <w:sz w:val="24"/>
          <w:szCs w:val="24"/>
          <w:lang w:val="nl-NL"/>
        </w:rPr>
        <w:t>Năm</w:t>
      </w:r>
      <w:r w:rsidR="000A2248" w:rsidRPr="00D8620E">
        <w:rPr>
          <w:rFonts w:ascii="Times New Roman" w:hAnsi="Times New Roman"/>
          <w:i/>
          <w:sz w:val="24"/>
          <w:szCs w:val="24"/>
          <w:lang w:val="nl-NL"/>
        </w:rPr>
        <w:t xml:space="preserve"> 20</w:t>
      </w:r>
      <w:r w:rsidR="0035694B">
        <w:rPr>
          <w:rFonts w:ascii="Times New Roman" w:hAnsi="Times New Roman"/>
          <w:i/>
          <w:sz w:val="24"/>
          <w:szCs w:val="24"/>
          <w:lang w:val="nl-NL"/>
        </w:rPr>
        <w:t>20</w:t>
      </w:r>
      <w:r w:rsidRPr="00D8620E">
        <w:rPr>
          <w:rFonts w:ascii="Times New Roman" w:hAnsi="Times New Roman"/>
          <w:i/>
          <w:sz w:val="24"/>
          <w:szCs w:val="24"/>
          <w:lang w:val="nl-NL"/>
        </w:rPr>
        <w:t>)</w:t>
      </w:r>
    </w:p>
    <w:p w14:paraId="268066CB" w14:textId="77777777" w:rsidR="00100534" w:rsidRPr="00D8620E" w:rsidRDefault="00100534" w:rsidP="00100534">
      <w:pPr>
        <w:spacing w:after="0" w:line="300" w:lineRule="auto"/>
        <w:jc w:val="center"/>
        <w:rPr>
          <w:rFonts w:ascii="Times New Roman" w:hAnsi="Times New Roman"/>
          <w:b/>
          <w:sz w:val="24"/>
          <w:szCs w:val="24"/>
          <w:lang w:val="nl-NL"/>
        </w:rPr>
      </w:pPr>
    </w:p>
    <w:p w14:paraId="26F437B7" w14:textId="77777777" w:rsidR="00100534" w:rsidRPr="00D8620E"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D8620E">
        <w:rPr>
          <w:rFonts w:ascii="Times New Roman" w:hAnsi="Times New Roman"/>
          <w:b/>
          <w:sz w:val="24"/>
          <w:szCs w:val="24"/>
        </w:rPr>
        <w:t>Thông</w:t>
      </w:r>
      <w:proofErr w:type="spellEnd"/>
      <w:r w:rsidRPr="00D8620E">
        <w:rPr>
          <w:rFonts w:ascii="Times New Roman" w:hAnsi="Times New Roman"/>
          <w:b/>
          <w:sz w:val="24"/>
          <w:szCs w:val="24"/>
        </w:rPr>
        <w:t xml:space="preserve"> tin </w:t>
      </w:r>
      <w:proofErr w:type="spellStart"/>
      <w:r w:rsidRPr="00D8620E">
        <w:rPr>
          <w:rFonts w:ascii="Times New Roman" w:hAnsi="Times New Roman"/>
          <w:b/>
          <w:sz w:val="24"/>
          <w:szCs w:val="24"/>
        </w:rPr>
        <w:t>về</w:t>
      </w:r>
      <w:proofErr w:type="spellEnd"/>
      <w:r w:rsidRPr="00D8620E">
        <w:rPr>
          <w:rFonts w:ascii="Times New Roman" w:hAnsi="Times New Roman"/>
          <w:b/>
          <w:sz w:val="24"/>
          <w:szCs w:val="24"/>
        </w:rPr>
        <w:t xml:space="preserve"> </w:t>
      </w:r>
      <w:proofErr w:type="spellStart"/>
      <w:r w:rsidR="00BC38CC" w:rsidRPr="00D8620E">
        <w:rPr>
          <w:rFonts w:ascii="Times New Roman" w:hAnsi="Times New Roman"/>
          <w:b/>
          <w:sz w:val="24"/>
          <w:szCs w:val="24"/>
        </w:rPr>
        <w:t>q</w:t>
      </w:r>
      <w:r w:rsidRPr="00D8620E">
        <w:rPr>
          <w:rFonts w:ascii="Times New Roman" w:hAnsi="Times New Roman"/>
          <w:b/>
          <w:sz w:val="24"/>
          <w:szCs w:val="24"/>
        </w:rPr>
        <w:t>uỹ</w:t>
      </w:r>
      <w:proofErr w:type="spellEnd"/>
    </w:p>
    <w:p w14:paraId="020A2347" w14:textId="77777777" w:rsidR="000A2248" w:rsidRPr="00D8620E"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Tên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loại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hình</w:t>
      </w:r>
      <w:proofErr w:type="spellEnd"/>
      <w:r w:rsidRPr="00D8620E">
        <w:rPr>
          <w:rFonts w:ascii="Times New Roman" w:hAnsi="Times New Roman"/>
          <w:sz w:val="24"/>
          <w:szCs w:val="24"/>
        </w:rPr>
        <w:t xml:space="preserve"> </w:t>
      </w:r>
      <w:proofErr w:type="spellStart"/>
      <w:r w:rsidR="00BC38CC" w:rsidRPr="00D8620E">
        <w:rPr>
          <w:rFonts w:ascii="Times New Roman" w:hAnsi="Times New Roman"/>
          <w:sz w:val="24"/>
          <w:szCs w:val="24"/>
        </w:rPr>
        <w:t>q</w:t>
      </w:r>
      <w:r w:rsidRPr="00D8620E">
        <w:rPr>
          <w:rFonts w:ascii="Times New Roman" w:hAnsi="Times New Roman"/>
          <w:sz w:val="24"/>
          <w:szCs w:val="24"/>
        </w:rPr>
        <w:t>uỹ</w:t>
      </w:r>
      <w:proofErr w:type="spellEnd"/>
      <w:r w:rsidR="000A2248" w:rsidRPr="00D8620E">
        <w:rPr>
          <w:rFonts w:ascii="Times New Roman" w:hAnsi="Times New Roman"/>
          <w:sz w:val="24"/>
          <w:szCs w:val="24"/>
        </w:rPr>
        <w:t>:</w:t>
      </w:r>
    </w:p>
    <w:p w14:paraId="59F80C52" w14:textId="77777777" w:rsidR="000A2248" w:rsidRPr="00D8620E" w:rsidRDefault="000A2248" w:rsidP="00D8620E">
      <w:pPr>
        <w:pStyle w:val="ListParagraph"/>
        <w:numPr>
          <w:ilvl w:val="0"/>
          <w:numId w:val="26"/>
        </w:numPr>
        <w:tabs>
          <w:tab w:val="left" w:pos="270"/>
          <w:tab w:val="left" w:pos="1134"/>
        </w:tabs>
        <w:spacing w:before="120" w:after="120" w:line="300" w:lineRule="auto"/>
        <w:jc w:val="both"/>
        <w:rPr>
          <w:rFonts w:ascii="Times New Roman" w:hAnsi="Times New Roman"/>
          <w:b/>
          <w:sz w:val="24"/>
          <w:szCs w:val="24"/>
        </w:rPr>
      </w:pPr>
      <w:proofErr w:type="spellStart"/>
      <w:r w:rsidRPr="00D8620E">
        <w:rPr>
          <w:rFonts w:ascii="Times New Roman" w:hAnsi="Times New Roman"/>
          <w:sz w:val="24"/>
          <w:szCs w:val="24"/>
        </w:rPr>
        <w:t>Tên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b/>
          <w:i/>
          <w:sz w:val="24"/>
          <w:szCs w:val="24"/>
        </w:rPr>
        <w:t>Quỹ</w:t>
      </w:r>
      <w:proofErr w:type="spellEnd"/>
      <w:r w:rsidRPr="00D8620E">
        <w:rPr>
          <w:rFonts w:ascii="Times New Roman" w:hAnsi="Times New Roman"/>
          <w:b/>
          <w:i/>
          <w:sz w:val="24"/>
          <w:szCs w:val="24"/>
        </w:rPr>
        <w:t xml:space="preserve"> </w:t>
      </w:r>
      <w:proofErr w:type="spellStart"/>
      <w:r w:rsidRPr="00D8620E">
        <w:rPr>
          <w:rFonts w:ascii="Times New Roman" w:hAnsi="Times New Roman"/>
          <w:b/>
          <w:i/>
          <w:sz w:val="24"/>
          <w:szCs w:val="24"/>
        </w:rPr>
        <w:t>Đầu</w:t>
      </w:r>
      <w:proofErr w:type="spellEnd"/>
      <w:r w:rsidRPr="00D8620E">
        <w:rPr>
          <w:rFonts w:ascii="Times New Roman" w:hAnsi="Times New Roman"/>
          <w:b/>
          <w:i/>
          <w:sz w:val="24"/>
          <w:szCs w:val="24"/>
        </w:rPr>
        <w:t xml:space="preserve"> </w:t>
      </w:r>
      <w:proofErr w:type="spellStart"/>
      <w:r w:rsidRPr="00D8620E">
        <w:rPr>
          <w:rFonts w:ascii="Times New Roman" w:hAnsi="Times New Roman"/>
          <w:b/>
          <w:i/>
          <w:sz w:val="24"/>
          <w:szCs w:val="24"/>
        </w:rPr>
        <w:t>Tư</w:t>
      </w:r>
      <w:proofErr w:type="spellEnd"/>
      <w:r w:rsidRPr="00D8620E">
        <w:rPr>
          <w:rFonts w:ascii="Times New Roman" w:hAnsi="Times New Roman"/>
          <w:b/>
          <w:i/>
          <w:sz w:val="24"/>
          <w:szCs w:val="24"/>
        </w:rPr>
        <w:t xml:space="preserve"> </w:t>
      </w:r>
      <w:proofErr w:type="spellStart"/>
      <w:r w:rsidRPr="00D8620E">
        <w:rPr>
          <w:rFonts w:ascii="Times New Roman" w:hAnsi="Times New Roman"/>
          <w:b/>
          <w:i/>
          <w:sz w:val="24"/>
          <w:szCs w:val="24"/>
        </w:rPr>
        <w:t>Tăng</w:t>
      </w:r>
      <w:proofErr w:type="spellEnd"/>
      <w:r w:rsidRPr="00D8620E">
        <w:rPr>
          <w:rFonts w:ascii="Times New Roman" w:hAnsi="Times New Roman"/>
          <w:b/>
          <w:i/>
          <w:sz w:val="24"/>
          <w:szCs w:val="24"/>
        </w:rPr>
        <w:t xml:space="preserve"> </w:t>
      </w:r>
      <w:proofErr w:type="spellStart"/>
      <w:r w:rsidRPr="00D8620E">
        <w:rPr>
          <w:rFonts w:ascii="Times New Roman" w:hAnsi="Times New Roman"/>
          <w:b/>
          <w:i/>
          <w:sz w:val="24"/>
          <w:szCs w:val="24"/>
        </w:rPr>
        <w:t>Trưởng</w:t>
      </w:r>
      <w:proofErr w:type="spellEnd"/>
      <w:r w:rsidRPr="00D8620E">
        <w:rPr>
          <w:rFonts w:ascii="Times New Roman" w:hAnsi="Times New Roman"/>
          <w:b/>
          <w:i/>
          <w:sz w:val="24"/>
          <w:szCs w:val="24"/>
        </w:rPr>
        <w:t xml:space="preserve"> DFVN</w:t>
      </w:r>
    </w:p>
    <w:p w14:paraId="1BFD821B" w14:textId="77777777" w:rsidR="00AE6D17" w:rsidRPr="00D8620E" w:rsidRDefault="000A2248" w:rsidP="00D8620E">
      <w:pPr>
        <w:pStyle w:val="ListParagraph"/>
        <w:numPr>
          <w:ilvl w:val="0"/>
          <w:numId w:val="26"/>
        </w:numPr>
        <w:tabs>
          <w:tab w:val="left" w:pos="270"/>
          <w:tab w:val="left" w:pos="1134"/>
        </w:tabs>
        <w:spacing w:before="120" w:after="120" w:line="300" w:lineRule="auto"/>
        <w:jc w:val="both"/>
        <w:rPr>
          <w:rFonts w:ascii="Times New Roman" w:hAnsi="Times New Roman"/>
          <w:sz w:val="24"/>
          <w:szCs w:val="24"/>
        </w:rPr>
      </w:pPr>
      <w:proofErr w:type="spellStart"/>
      <w:r w:rsidRPr="00D8620E">
        <w:rPr>
          <w:rFonts w:ascii="Times New Roman" w:hAnsi="Times New Roman"/>
          <w:sz w:val="24"/>
          <w:szCs w:val="24"/>
        </w:rPr>
        <w:t>Loại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hình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i/>
          <w:sz w:val="24"/>
          <w:szCs w:val="24"/>
        </w:rPr>
        <w:t>Quỹ</w:t>
      </w:r>
      <w:proofErr w:type="spellEnd"/>
      <w:r w:rsidRPr="00D8620E">
        <w:rPr>
          <w:rFonts w:ascii="Times New Roman" w:hAnsi="Times New Roman"/>
          <w:i/>
          <w:sz w:val="24"/>
          <w:szCs w:val="24"/>
        </w:rPr>
        <w:t xml:space="preserve"> </w:t>
      </w:r>
      <w:proofErr w:type="spellStart"/>
      <w:r w:rsidRPr="00D8620E">
        <w:rPr>
          <w:rFonts w:ascii="Times New Roman" w:hAnsi="Times New Roman"/>
          <w:i/>
          <w:sz w:val="24"/>
          <w:szCs w:val="24"/>
        </w:rPr>
        <w:t>mở</w:t>
      </w:r>
      <w:proofErr w:type="spellEnd"/>
    </w:p>
    <w:p w14:paraId="677507E5" w14:textId="77777777" w:rsidR="00100534" w:rsidRPr="00953F4D"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953F4D">
        <w:rPr>
          <w:rFonts w:ascii="Times New Roman" w:hAnsi="Times New Roman"/>
          <w:sz w:val="24"/>
          <w:szCs w:val="24"/>
        </w:rPr>
        <w:t>Mục</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tiêu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đầu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tư</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w:t>
      </w:r>
      <w:proofErr w:type="spellStart"/>
      <w:r w:rsidR="004D7F59" w:rsidRPr="00953F4D">
        <w:rPr>
          <w:rFonts w:ascii="Times New Roman" w:hAnsi="Times New Roman"/>
          <w:sz w:val="24"/>
          <w:szCs w:val="24"/>
        </w:rPr>
        <w:t>Q</w:t>
      </w:r>
      <w:r w:rsidRPr="00953F4D">
        <w:rPr>
          <w:rFonts w:ascii="Times New Roman" w:hAnsi="Times New Roman"/>
          <w:sz w:val="24"/>
          <w:szCs w:val="24"/>
        </w:rPr>
        <w:t>uỹ</w:t>
      </w:r>
      <w:proofErr w:type="spellEnd"/>
      <w:r w:rsidR="000A2248" w:rsidRPr="00953F4D">
        <w:rPr>
          <w:rFonts w:ascii="Times New Roman" w:hAnsi="Times New Roman"/>
          <w:sz w:val="24"/>
          <w:szCs w:val="24"/>
        </w:rPr>
        <w:t>:</w:t>
      </w:r>
    </w:p>
    <w:p w14:paraId="0FBCBDFA" w14:textId="77777777" w:rsidR="000A2248" w:rsidRPr="00953F4D" w:rsidRDefault="000A2248"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953F4D">
        <w:rPr>
          <w:rFonts w:ascii="Times New Roman" w:hAnsi="Times New Roman"/>
          <w:sz w:val="24"/>
          <w:szCs w:val="24"/>
        </w:rPr>
        <w:t>Quỹ</w:t>
      </w:r>
      <w:proofErr w:type="spellEnd"/>
      <w:r w:rsidRPr="00953F4D">
        <w:rPr>
          <w:rFonts w:ascii="Times New Roman" w:hAnsi="Times New Roman"/>
          <w:sz w:val="24"/>
          <w:szCs w:val="24"/>
        </w:rPr>
        <w:t xml:space="preserve"> DFVN-CAF </w:t>
      </w:r>
      <w:proofErr w:type="spellStart"/>
      <w:r w:rsidRPr="00953F4D">
        <w:rPr>
          <w:rFonts w:ascii="Times New Roman" w:hAnsi="Times New Roman"/>
          <w:sz w:val="24"/>
          <w:szCs w:val="24"/>
        </w:rPr>
        <w:t>đặt</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mục</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tiêu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tăng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trưởng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vốn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và</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tài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sản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Nhà</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đầu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tư</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phấn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đấu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cao</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hơn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mức</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tăng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trưởng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Thị </w:t>
      </w:r>
      <w:proofErr w:type="spellStart"/>
      <w:r w:rsidRPr="00953F4D">
        <w:rPr>
          <w:rFonts w:ascii="Times New Roman" w:hAnsi="Times New Roman"/>
          <w:sz w:val="24"/>
          <w:szCs w:val="24"/>
        </w:rPr>
        <w:t>trường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Chứng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khoán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Việt</w:t>
      </w:r>
      <w:proofErr w:type="spellEnd"/>
      <w:r w:rsidRPr="00953F4D">
        <w:rPr>
          <w:rFonts w:ascii="Times New Roman" w:hAnsi="Times New Roman"/>
          <w:sz w:val="24"/>
          <w:szCs w:val="24"/>
        </w:rPr>
        <w:t xml:space="preserve"> Nam (VN-Index) </w:t>
      </w:r>
      <w:proofErr w:type="spellStart"/>
      <w:r w:rsidRPr="00953F4D">
        <w:rPr>
          <w:rFonts w:ascii="Times New Roman" w:hAnsi="Times New Roman"/>
          <w:sz w:val="24"/>
          <w:szCs w:val="24"/>
        </w:rPr>
        <w:t>trong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dài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hạn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bằng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việc</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đầu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tư</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chủ</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yếu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vào</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các</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cổ</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phiếu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niêm</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yết</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trên</w:t>
      </w:r>
      <w:proofErr w:type="spellEnd"/>
      <w:r w:rsidRPr="00953F4D">
        <w:rPr>
          <w:rFonts w:ascii="Times New Roman" w:hAnsi="Times New Roman"/>
          <w:sz w:val="24"/>
          <w:szCs w:val="24"/>
        </w:rPr>
        <w:t xml:space="preserve"> Thị </w:t>
      </w:r>
      <w:proofErr w:type="spellStart"/>
      <w:r w:rsidRPr="00953F4D">
        <w:rPr>
          <w:rFonts w:ascii="Times New Roman" w:hAnsi="Times New Roman"/>
          <w:sz w:val="24"/>
          <w:szCs w:val="24"/>
        </w:rPr>
        <w:t>trường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Chứng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khoán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Việt</w:t>
      </w:r>
      <w:proofErr w:type="spellEnd"/>
      <w:r w:rsidRPr="00953F4D">
        <w:rPr>
          <w:rFonts w:ascii="Times New Roman" w:hAnsi="Times New Roman"/>
          <w:sz w:val="24"/>
          <w:szCs w:val="24"/>
        </w:rPr>
        <w:t xml:space="preserve"> Nam.</w:t>
      </w:r>
    </w:p>
    <w:p w14:paraId="56D0D4DE" w14:textId="77777777" w:rsidR="00100534" w:rsidRPr="00953F4D"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953F4D">
        <w:rPr>
          <w:rFonts w:ascii="Times New Roman" w:hAnsi="Times New Roman"/>
          <w:sz w:val="24"/>
          <w:szCs w:val="24"/>
        </w:rPr>
        <w:t>Thời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hạn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hoạt</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động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000A2248" w:rsidRPr="00953F4D">
        <w:rPr>
          <w:rFonts w:ascii="Times New Roman" w:hAnsi="Times New Roman"/>
          <w:sz w:val="24"/>
          <w:szCs w:val="24"/>
        </w:rPr>
        <w:t xml:space="preserve">: </w:t>
      </w:r>
      <w:proofErr w:type="spellStart"/>
      <w:r w:rsidR="000A2248" w:rsidRPr="00953F4D">
        <w:rPr>
          <w:rFonts w:ascii="Times New Roman" w:hAnsi="Times New Roman"/>
          <w:i/>
          <w:sz w:val="24"/>
          <w:szCs w:val="24"/>
        </w:rPr>
        <w:t>không</w:t>
      </w:r>
      <w:proofErr w:type="spellEnd"/>
      <w:r w:rsidR="000A2248" w:rsidRPr="00953F4D">
        <w:rPr>
          <w:rFonts w:ascii="Times New Roman" w:hAnsi="Times New Roman"/>
          <w:i/>
          <w:sz w:val="24"/>
          <w:szCs w:val="24"/>
        </w:rPr>
        <w:t xml:space="preserve"> </w:t>
      </w:r>
      <w:proofErr w:type="spellStart"/>
      <w:r w:rsidR="000A2248" w:rsidRPr="00953F4D">
        <w:rPr>
          <w:rFonts w:ascii="Times New Roman" w:hAnsi="Times New Roman"/>
          <w:i/>
          <w:sz w:val="24"/>
          <w:szCs w:val="24"/>
        </w:rPr>
        <w:t>xác</w:t>
      </w:r>
      <w:proofErr w:type="spellEnd"/>
      <w:r w:rsidR="000A2248" w:rsidRPr="00953F4D">
        <w:rPr>
          <w:rFonts w:ascii="Times New Roman" w:hAnsi="Times New Roman"/>
          <w:i/>
          <w:sz w:val="24"/>
          <w:szCs w:val="24"/>
        </w:rPr>
        <w:t xml:space="preserve"> </w:t>
      </w:r>
      <w:proofErr w:type="spellStart"/>
      <w:r w:rsidR="000A2248" w:rsidRPr="00953F4D">
        <w:rPr>
          <w:rFonts w:ascii="Times New Roman" w:hAnsi="Times New Roman"/>
          <w:i/>
          <w:sz w:val="24"/>
          <w:szCs w:val="24"/>
        </w:rPr>
        <w:t>định</w:t>
      </w:r>
      <w:proofErr w:type="spellEnd"/>
    </w:p>
    <w:p w14:paraId="24833991" w14:textId="77777777" w:rsidR="00100534" w:rsidRPr="00953F4D"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953F4D">
        <w:rPr>
          <w:rFonts w:ascii="Times New Roman" w:hAnsi="Times New Roman"/>
          <w:sz w:val="24"/>
          <w:szCs w:val="24"/>
        </w:rPr>
        <w:t xml:space="preserve">Danh </w:t>
      </w:r>
      <w:proofErr w:type="spellStart"/>
      <w:r w:rsidRPr="00953F4D">
        <w:rPr>
          <w:rFonts w:ascii="Times New Roman" w:hAnsi="Times New Roman"/>
          <w:sz w:val="24"/>
          <w:szCs w:val="24"/>
        </w:rPr>
        <w:t>mục</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tham</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chiếu</w:t>
      </w:r>
      <w:proofErr w:type="spellEnd"/>
      <w:r w:rsidRPr="00953F4D">
        <w:rPr>
          <w:rFonts w:ascii="Times New Roman" w:hAnsi="Times New Roman"/>
          <w:sz w:val="24"/>
          <w:szCs w:val="24"/>
        </w:rPr>
        <w:t xml:space="preserve"> (benchmark portfolio)</w:t>
      </w:r>
      <w:r w:rsidR="000A2248" w:rsidRPr="00953F4D">
        <w:rPr>
          <w:rFonts w:ascii="Times New Roman" w:hAnsi="Times New Roman"/>
          <w:sz w:val="24"/>
          <w:szCs w:val="24"/>
        </w:rPr>
        <w:t xml:space="preserve">: </w:t>
      </w:r>
      <w:proofErr w:type="spellStart"/>
      <w:r w:rsidR="000A2248" w:rsidRPr="00953F4D">
        <w:rPr>
          <w:rFonts w:ascii="Times New Roman" w:hAnsi="Times New Roman"/>
          <w:i/>
          <w:sz w:val="24"/>
          <w:szCs w:val="24"/>
        </w:rPr>
        <w:t>không</w:t>
      </w:r>
      <w:proofErr w:type="spellEnd"/>
      <w:r w:rsidR="000A2248" w:rsidRPr="00953F4D">
        <w:rPr>
          <w:rFonts w:ascii="Times New Roman" w:hAnsi="Times New Roman"/>
          <w:i/>
          <w:sz w:val="24"/>
          <w:szCs w:val="24"/>
        </w:rPr>
        <w:t xml:space="preserve"> </w:t>
      </w:r>
      <w:proofErr w:type="spellStart"/>
      <w:r w:rsidR="000A2248" w:rsidRPr="00953F4D">
        <w:rPr>
          <w:rFonts w:ascii="Times New Roman" w:hAnsi="Times New Roman"/>
          <w:i/>
          <w:sz w:val="24"/>
          <w:szCs w:val="24"/>
        </w:rPr>
        <w:t>áp</w:t>
      </w:r>
      <w:proofErr w:type="spellEnd"/>
      <w:r w:rsidR="000A2248" w:rsidRPr="00953F4D">
        <w:rPr>
          <w:rFonts w:ascii="Times New Roman" w:hAnsi="Times New Roman"/>
          <w:i/>
          <w:sz w:val="24"/>
          <w:szCs w:val="24"/>
        </w:rPr>
        <w:t xml:space="preserve"> </w:t>
      </w:r>
      <w:proofErr w:type="spellStart"/>
      <w:r w:rsidR="000A2248" w:rsidRPr="00953F4D">
        <w:rPr>
          <w:rFonts w:ascii="Times New Roman" w:hAnsi="Times New Roman"/>
          <w:i/>
          <w:sz w:val="24"/>
          <w:szCs w:val="24"/>
        </w:rPr>
        <w:t>dụng</w:t>
      </w:r>
      <w:proofErr w:type="spellEnd"/>
    </w:p>
    <w:p w14:paraId="59443F40" w14:textId="77777777" w:rsidR="001C0E26" w:rsidRPr="00953F4D"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953F4D">
        <w:rPr>
          <w:rFonts w:ascii="Times New Roman" w:hAnsi="Times New Roman"/>
          <w:sz w:val="24"/>
          <w:szCs w:val="24"/>
        </w:rPr>
        <w:t>Chính</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sách</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phân</w:t>
      </w:r>
      <w:proofErr w:type="spellEnd"/>
      <w:r w:rsidRPr="00953F4D">
        <w:rPr>
          <w:rFonts w:ascii="Times New Roman" w:hAnsi="Times New Roman"/>
          <w:sz w:val="24"/>
          <w:szCs w:val="24"/>
        </w:rPr>
        <w:t xml:space="preserve"> chia </w:t>
      </w:r>
      <w:proofErr w:type="spellStart"/>
      <w:r w:rsidRPr="00953F4D">
        <w:rPr>
          <w:rFonts w:ascii="Times New Roman" w:hAnsi="Times New Roman"/>
          <w:sz w:val="24"/>
          <w:szCs w:val="24"/>
        </w:rPr>
        <w:t>lợi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nhuận</w:t>
      </w:r>
      <w:proofErr w:type="spellEnd"/>
      <w:r w:rsidR="000A2248" w:rsidRPr="00953F4D">
        <w:rPr>
          <w:rFonts w:ascii="Times New Roman" w:hAnsi="Times New Roman"/>
          <w:sz w:val="24"/>
          <w:szCs w:val="24"/>
        </w:rPr>
        <w:t>:</w:t>
      </w:r>
    </w:p>
    <w:p w14:paraId="2A3B5058" w14:textId="77777777" w:rsidR="001C0E26" w:rsidRPr="00D8620E" w:rsidRDefault="001C0E26" w:rsidP="004352B7">
      <w:pPr>
        <w:shd w:val="clear" w:color="auto" w:fill="FFFFFF"/>
        <w:tabs>
          <w:tab w:val="left" w:pos="540"/>
        </w:tabs>
        <w:spacing w:before="120" w:after="120" w:line="240" w:lineRule="auto"/>
        <w:jc w:val="both"/>
        <w:rPr>
          <w:rFonts w:ascii="Times New Roman" w:hAnsi="Times New Roman"/>
          <w:sz w:val="24"/>
          <w:szCs w:val="24"/>
        </w:rPr>
      </w:pPr>
      <w:proofErr w:type="spellStart"/>
      <w:r w:rsidRPr="00D8620E">
        <w:rPr>
          <w:rFonts w:ascii="Times New Roman" w:hAnsi="Times New Roman"/>
          <w:sz w:val="24"/>
          <w:szCs w:val="24"/>
        </w:rPr>
        <w:t>Như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đoạn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trung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do </w:t>
      </w:r>
      <w:proofErr w:type="spellStart"/>
      <w:r w:rsidRPr="00D8620E">
        <w:rPr>
          <w:rFonts w:ascii="Times New Roman" w:hAnsi="Times New Roman"/>
          <w:sz w:val="24"/>
          <w:szCs w:val="24"/>
        </w:rPr>
        <w:t>đó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dựa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khuôn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xuất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chấp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bởi</w:t>
      </w:r>
      <w:proofErr w:type="spellEnd"/>
      <w:r w:rsidRPr="00D8620E">
        <w:rPr>
          <w:rFonts w:ascii="Times New Roman" w:hAnsi="Times New Roman"/>
          <w:sz w:val="24"/>
          <w:szCs w:val="24"/>
        </w:rPr>
        <w:t xml:space="preserve"> Ban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hội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qua. </w:t>
      </w:r>
      <w:r w:rsidRPr="00D8620E" w:rsidDel="00091CAB">
        <w:rPr>
          <w:rFonts w:ascii="Times New Roman" w:hAnsi="Times New Roman"/>
          <w:sz w:val="24"/>
          <w:szCs w:val="24"/>
        </w:rPr>
        <w:t xml:space="preserve"> </w:t>
      </w:r>
    </w:p>
    <w:p w14:paraId="40860E7E" w14:textId="77777777" w:rsidR="001C0E26" w:rsidRPr="00D8620E" w:rsidRDefault="001C0E26" w:rsidP="004352B7">
      <w:pPr>
        <w:shd w:val="clear" w:color="auto" w:fill="FFFFFF"/>
        <w:tabs>
          <w:tab w:val="left" w:pos="540"/>
        </w:tabs>
        <w:spacing w:before="120" w:after="120" w:line="240" w:lineRule="auto"/>
        <w:jc w:val="both"/>
        <w:rPr>
          <w:rFonts w:ascii="Times New Roman" w:hAnsi="Times New Roman"/>
          <w:sz w:val="24"/>
          <w:szCs w:val="24"/>
        </w:rPr>
      </w:pP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xem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xét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nguồn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đây</w:t>
      </w:r>
      <w:proofErr w:type="spellEnd"/>
      <w:r w:rsidRPr="00D8620E">
        <w:rPr>
          <w:rFonts w:ascii="Times New Roman" w:hAnsi="Times New Roman"/>
          <w:sz w:val="24"/>
          <w:szCs w:val="24"/>
        </w:rPr>
        <w:t>:</w:t>
      </w:r>
    </w:p>
    <w:p w14:paraId="71E6DF66" w14:textId="77777777"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lũy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cuối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xuất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dương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chi </w:t>
      </w:r>
      <w:proofErr w:type="spellStart"/>
      <w:r w:rsidRPr="00D8620E">
        <w:rPr>
          <w:rFonts w:ascii="Times New Roman" w:hAnsi="Times New Roman"/>
          <w:sz w:val="24"/>
          <w:szCs w:val="24"/>
        </w:rPr>
        <w:t>phí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trình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w:t>
      </w:r>
    </w:p>
    <w:p w14:paraId="41152DE9" w14:textId="77777777"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D8620E">
        <w:rPr>
          <w:rFonts w:ascii="Times New Roman" w:hAnsi="Times New Roman"/>
          <w:sz w:val="24"/>
          <w:szCs w:val="24"/>
        </w:rPr>
        <w:t>Nguồn</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trình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w:t>
      </w:r>
    </w:p>
    <w:p w14:paraId="648F262C" w14:textId="77777777"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r w:rsidRPr="00D8620E">
        <w:rPr>
          <w:rFonts w:ascii="Times New Roman" w:hAnsi="Times New Roman"/>
          <w:sz w:val="24"/>
          <w:szCs w:val="24"/>
        </w:rPr>
        <w:t xml:space="preserve">Sau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dự</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lũy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còn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cuối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xuất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lớn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hoặc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bằng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âm</w:t>
      </w:r>
      <w:proofErr w:type="spellEnd"/>
      <w:r w:rsidRPr="00D8620E">
        <w:rPr>
          <w:rFonts w:ascii="Times New Roman" w:hAnsi="Times New Roman"/>
          <w:sz w:val="24"/>
          <w:szCs w:val="24"/>
        </w:rPr>
        <w:t>).</w:t>
      </w:r>
    </w:p>
    <w:p w14:paraId="62B860B7" w14:textId="77777777"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trích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từ</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nguồn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để</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w:t>
      </w:r>
    </w:p>
    <w:p w14:paraId="56633A8D" w14:textId="77777777" w:rsidR="001C0E26" w:rsidRPr="00D8620E"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chia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hoàn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hoặc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004D7F59" w:rsidRPr="00D8620E">
        <w:rPr>
          <w:rFonts w:ascii="Times New Roman" w:hAnsi="Times New Roman"/>
          <w:sz w:val="24"/>
          <w:szCs w:val="24"/>
        </w:rPr>
        <w:t xml:space="preserve"> </w:t>
      </w:r>
      <w:proofErr w:type="spellStart"/>
      <w:r w:rsidRPr="00D8620E">
        <w:rPr>
          <w:rFonts w:ascii="Times New Roman" w:hAnsi="Times New Roman"/>
          <w:sz w:val="24"/>
          <w:szCs w:val="24"/>
        </w:rPr>
        <w:t>lực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để</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hoàn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nghĩa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nghĩa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trích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qũy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ngay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lastRenderedPageBreak/>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đảm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nghĩa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p>
    <w:p w14:paraId="37CA068B" w14:textId="6C2DA555" w:rsidR="00100534" w:rsidRPr="00953F4D"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953F4D">
        <w:rPr>
          <w:rFonts w:ascii="Times New Roman" w:hAnsi="Times New Roman"/>
          <w:sz w:val="24"/>
          <w:szCs w:val="24"/>
        </w:rPr>
        <w:t>Số</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lượng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đơn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vị</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đang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lưu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hành</w:t>
      </w:r>
      <w:proofErr w:type="spellEnd"/>
      <w:r w:rsidR="000A2248" w:rsidRPr="00953F4D">
        <w:rPr>
          <w:rFonts w:ascii="Times New Roman" w:hAnsi="Times New Roman"/>
          <w:sz w:val="24"/>
          <w:szCs w:val="24"/>
        </w:rPr>
        <w:t xml:space="preserve"> </w:t>
      </w:r>
      <w:proofErr w:type="spellStart"/>
      <w:r w:rsidR="000A2248" w:rsidRPr="00953F4D">
        <w:rPr>
          <w:rFonts w:ascii="Times New Roman" w:hAnsi="Times New Roman"/>
          <w:sz w:val="24"/>
          <w:szCs w:val="24"/>
        </w:rPr>
        <w:t>tại</w:t>
      </w:r>
      <w:proofErr w:type="spellEnd"/>
      <w:r w:rsidR="000A2248" w:rsidRPr="00953F4D">
        <w:rPr>
          <w:rFonts w:ascii="Times New Roman" w:hAnsi="Times New Roman"/>
          <w:sz w:val="24"/>
          <w:szCs w:val="24"/>
        </w:rPr>
        <w:t xml:space="preserve"> </w:t>
      </w:r>
      <w:proofErr w:type="spellStart"/>
      <w:r w:rsidR="000A2248" w:rsidRPr="00953F4D">
        <w:rPr>
          <w:rFonts w:ascii="Times New Roman" w:hAnsi="Times New Roman"/>
          <w:sz w:val="24"/>
          <w:szCs w:val="24"/>
        </w:rPr>
        <w:t>ngày</w:t>
      </w:r>
      <w:proofErr w:type="spellEnd"/>
      <w:r w:rsidR="000A2248" w:rsidRPr="00953F4D">
        <w:rPr>
          <w:rFonts w:ascii="Times New Roman" w:hAnsi="Times New Roman"/>
          <w:sz w:val="24"/>
          <w:szCs w:val="24"/>
        </w:rPr>
        <w:t xml:space="preserve"> </w:t>
      </w:r>
      <w:r w:rsidR="00D60277" w:rsidRPr="00953F4D">
        <w:rPr>
          <w:rFonts w:ascii="Times New Roman" w:hAnsi="Times New Roman"/>
          <w:sz w:val="24"/>
          <w:szCs w:val="24"/>
        </w:rPr>
        <w:t>31/12</w:t>
      </w:r>
      <w:r w:rsidR="000A2248" w:rsidRPr="00953F4D">
        <w:rPr>
          <w:rFonts w:ascii="Times New Roman" w:hAnsi="Times New Roman"/>
          <w:sz w:val="24"/>
          <w:szCs w:val="24"/>
        </w:rPr>
        <w:t>/20</w:t>
      </w:r>
      <w:r w:rsidR="0035694B" w:rsidRPr="00953F4D">
        <w:rPr>
          <w:rFonts w:ascii="Times New Roman" w:hAnsi="Times New Roman"/>
          <w:sz w:val="24"/>
          <w:szCs w:val="24"/>
        </w:rPr>
        <w:t>20</w:t>
      </w:r>
      <w:r w:rsidR="000A2248" w:rsidRPr="00953F4D">
        <w:rPr>
          <w:rFonts w:ascii="Times New Roman" w:hAnsi="Times New Roman"/>
          <w:sz w:val="24"/>
          <w:szCs w:val="24"/>
        </w:rPr>
        <w:t xml:space="preserve">: </w:t>
      </w:r>
      <w:r w:rsidR="0087495C" w:rsidRPr="00953F4D">
        <w:rPr>
          <w:rFonts w:ascii="Times New Roman" w:hAnsi="Times New Roman"/>
          <w:sz w:val="24"/>
          <w:szCs w:val="24"/>
        </w:rPr>
        <w:t xml:space="preserve">8,125,094.24 </w:t>
      </w:r>
      <w:proofErr w:type="spellStart"/>
      <w:r w:rsidR="000A2248" w:rsidRPr="00953F4D">
        <w:rPr>
          <w:rFonts w:ascii="Times New Roman" w:hAnsi="Times New Roman"/>
          <w:sz w:val="24"/>
          <w:szCs w:val="24"/>
        </w:rPr>
        <w:t>đơn</w:t>
      </w:r>
      <w:proofErr w:type="spellEnd"/>
      <w:r w:rsidR="000A2248" w:rsidRPr="00953F4D">
        <w:rPr>
          <w:rFonts w:ascii="Times New Roman" w:hAnsi="Times New Roman"/>
          <w:sz w:val="24"/>
          <w:szCs w:val="24"/>
        </w:rPr>
        <w:t xml:space="preserve"> </w:t>
      </w:r>
      <w:proofErr w:type="spellStart"/>
      <w:r w:rsidR="000A2248" w:rsidRPr="00953F4D">
        <w:rPr>
          <w:rFonts w:ascii="Times New Roman" w:hAnsi="Times New Roman"/>
          <w:sz w:val="24"/>
          <w:szCs w:val="24"/>
        </w:rPr>
        <w:t>vị</w:t>
      </w:r>
      <w:proofErr w:type="spellEnd"/>
      <w:r w:rsidR="000A2248" w:rsidRPr="00953F4D">
        <w:rPr>
          <w:rFonts w:ascii="Times New Roman" w:hAnsi="Times New Roman"/>
          <w:sz w:val="24"/>
          <w:szCs w:val="24"/>
        </w:rPr>
        <w:t xml:space="preserve"> </w:t>
      </w:r>
      <w:proofErr w:type="spellStart"/>
      <w:r w:rsidR="000A2248" w:rsidRPr="00953F4D">
        <w:rPr>
          <w:rFonts w:ascii="Times New Roman" w:hAnsi="Times New Roman"/>
          <w:sz w:val="24"/>
          <w:szCs w:val="24"/>
        </w:rPr>
        <w:t>quỹ</w:t>
      </w:r>
      <w:proofErr w:type="spellEnd"/>
    </w:p>
    <w:p w14:paraId="5C69DBBC" w14:textId="77777777" w:rsidR="00100534" w:rsidRPr="00953F4D"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953F4D">
        <w:rPr>
          <w:rFonts w:ascii="Times New Roman" w:hAnsi="Times New Roman"/>
          <w:sz w:val="24"/>
          <w:szCs w:val="24"/>
        </w:rPr>
        <w:t>Nội</w:t>
      </w:r>
      <w:proofErr w:type="spellEnd"/>
      <w:r w:rsidRPr="00953F4D">
        <w:rPr>
          <w:rFonts w:ascii="Times New Roman" w:hAnsi="Times New Roman"/>
          <w:sz w:val="24"/>
          <w:szCs w:val="24"/>
        </w:rPr>
        <w:t xml:space="preserve"> dung </w:t>
      </w:r>
      <w:proofErr w:type="spellStart"/>
      <w:r w:rsidRPr="00953F4D">
        <w:rPr>
          <w:rFonts w:ascii="Times New Roman" w:hAnsi="Times New Roman"/>
          <w:sz w:val="24"/>
          <w:szCs w:val="24"/>
        </w:rPr>
        <w:t>thay</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đổi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tại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Điều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lệ</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trong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kỳ</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báo</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cáo</w:t>
      </w:r>
      <w:proofErr w:type="spellEnd"/>
      <w:r w:rsidR="00355F1F" w:rsidRPr="00953F4D">
        <w:rPr>
          <w:rFonts w:ascii="Times New Roman" w:hAnsi="Times New Roman"/>
          <w:sz w:val="24"/>
          <w:szCs w:val="24"/>
        </w:rPr>
        <w:t xml:space="preserve">: </w:t>
      </w:r>
      <w:proofErr w:type="spellStart"/>
      <w:r w:rsidR="00355F1F" w:rsidRPr="00953F4D">
        <w:rPr>
          <w:rFonts w:ascii="Times New Roman" w:hAnsi="Times New Roman"/>
          <w:b/>
          <w:i/>
          <w:sz w:val="24"/>
          <w:szCs w:val="24"/>
        </w:rPr>
        <w:t>Không</w:t>
      </w:r>
      <w:proofErr w:type="spellEnd"/>
      <w:r w:rsidR="00355F1F" w:rsidRPr="00953F4D">
        <w:rPr>
          <w:rFonts w:ascii="Times New Roman" w:hAnsi="Times New Roman"/>
          <w:b/>
          <w:i/>
          <w:sz w:val="24"/>
          <w:szCs w:val="24"/>
        </w:rPr>
        <w:t xml:space="preserve"> </w:t>
      </w:r>
      <w:proofErr w:type="spellStart"/>
      <w:r w:rsidR="00355F1F" w:rsidRPr="00953F4D">
        <w:rPr>
          <w:rFonts w:ascii="Times New Roman" w:hAnsi="Times New Roman"/>
          <w:b/>
          <w:i/>
          <w:sz w:val="24"/>
          <w:szCs w:val="24"/>
        </w:rPr>
        <w:t>có</w:t>
      </w:r>
      <w:proofErr w:type="spellEnd"/>
    </w:p>
    <w:p w14:paraId="641FA1F2" w14:textId="77777777" w:rsidR="00100534" w:rsidRPr="00953F4D"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953F4D">
        <w:rPr>
          <w:rFonts w:ascii="Times New Roman" w:hAnsi="Times New Roman"/>
          <w:sz w:val="24"/>
          <w:szCs w:val="24"/>
        </w:rPr>
        <w:t>Nội</w:t>
      </w:r>
      <w:proofErr w:type="spellEnd"/>
      <w:r w:rsidRPr="00953F4D">
        <w:rPr>
          <w:rFonts w:ascii="Times New Roman" w:hAnsi="Times New Roman"/>
          <w:sz w:val="24"/>
          <w:szCs w:val="24"/>
        </w:rPr>
        <w:t xml:space="preserve"> dung </w:t>
      </w:r>
      <w:proofErr w:type="spellStart"/>
      <w:r w:rsidRPr="00953F4D">
        <w:rPr>
          <w:rFonts w:ascii="Times New Roman" w:hAnsi="Times New Roman"/>
          <w:sz w:val="24"/>
          <w:szCs w:val="24"/>
        </w:rPr>
        <w:t>Nghị</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quyết</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Đại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hội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nhà</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đầu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tư</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trong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kỳ</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báo</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cáo</w:t>
      </w:r>
      <w:proofErr w:type="spellEnd"/>
      <w:r w:rsidR="00355F1F" w:rsidRPr="00953F4D">
        <w:rPr>
          <w:rFonts w:ascii="Times New Roman" w:hAnsi="Times New Roman"/>
          <w:sz w:val="24"/>
          <w:szCs w:val="24"/>
        </w:rPr>
        <w:t>:</w:t>
      </w:r>
    </w:p>
    <w:p w14:paraId="19EABD3A" w14:textId="77777777" w:rsidR="00797427" w:rsidRPr="00D8620E" w:rsidRDefault="00797427" w:rsidP="0079742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ngày</w:t>
      </w:r>
      <w:proofErr w:type="spellEnd"/>
      <w:r>
        <w:rPr>
          <w:rFonts w:ascii="Times New Roman" w:hAnsi="Times New Roman"/>
          <w:sz w:val="24"/>
          <w:szCs w:val="24"/>
        </w:rPr>
        <w:t xml:space="preserve"> 21/04/2020</w:t>
      </w:r>
      <w:r w:rsidRPr="00D8620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căn</w:t>
      </w:r>
      <w:proofErr w:type="spellEnd"/>
      <w:r>
        <w:rPr>
          <w:rFonts w:ascii="Times New Roman" w:hAnsi="Times New Roman"/>
          <w:sz w:val="24"/>
          <w:szCs w:val="24"/>
        </w:rPr>
        <w:t xml:space="preserve"> </w:t>
      </w:r>
      <w:proofErr w:type="spellStart"/>
      <w:r>
        <w:rPr>
          <w:rFonts w:ascii="Times New Roman" w:hAnsi="Times New Roman"/>
          <w:sz w:val="24"/>
          <w:szCs w:val="24"/>
        </w:rPr>
        <w:t>cứ</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Biên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lập</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niên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2019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quyết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nội</w:t>
      </w:r>
      <w:proofErr w:type="spellEnd"/>
      <w:r>
        <w:rPr>
          <w:rFonts w:ascii="Times New Roman" w:hAnsi="Times New Roman"/>
          <w:sz w:val="24"/>
          <w:szCs w:val="24"/>
        </w:rPr>
        <w:t xml:space="preserve"> dung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sidRPr="00D8620E">
        <w:rPr>
          <w:rFonts w:ascii="Times New Roman" w:hAnsi="Times New Roman"/>
          <w:sz w:val="24"/>
          <w:szCs w:val="24"/>
        </w:rPr>
        <w:t>:</w:t>
      </w:r>
    </w:p>
    <w:p w14:paraId="5D6A2406" w14:textId="10D54863" w:rsidR="00797427" w:rsidRPr="00797427" w:rsidRDefault="00797427" w:rsidP="00797427">
      <w:pPr>
        <w:pStyle w:val="ListParagraph"/>
        <w:numPr>
          <w:ilvl w:val="0"/>
          <w:numId w:val="18"/>
        </w:numPr>
        <w:tabs>
          <w:tab w:val="left" w:pos="270"/>
          <w:tab w:val="left" w:pos="1134"/>
        </w:tabs>
        <w:spacing w:before="120" w:after="120" w:line="300" w:lineRule="auto"/>
        <w:jc w:val="both"/>
        <w:rPr>
          <w:rFonts w:ascii="Times New Roman" w:hAnsi="Times New Roman"/>
          <w:sz w:val="24"/>
          <w:szCs w:val="24"/>
        </w:rPr>
      </w:pPr>
      <w:proofErr w:type="spellStart"/>
      <w:r w:rsidRPr="00797427">
        <w:rPr>
          <w:rFonts w:ascii="Times New Roman" w:hAnsi="Times New Roman"/>
          <w:sz w:val="24"/>
          <w:szCs w:val="24"/>
        </w:rPr>
        <w:t>Thông</w:t>
      </w:r>
      <w:proofErr w:type="spellEnd"/>
      <w:r w:rsidRPr="00797427">
        <w:rPr>
          <w:rFonts w:ascii="Times New Roman" w:hAnsi="Times New Roman"/>
          <w:sz w:val="24"/>
          <w:szCs w:val="24"/>
        </w:rPr>
        <w:t xml:space="preserve"> qua </w:t>
      </w:r>
      <w:proofErr w:type="spellStart"/>
      <w:r w:rsidRPr="00797427">
        <w:rPr>
          <w:rFonts w:ascii="Times New Roman" w:hAnsi="Times New Roman"/>
          <w:sz w:val="24"/>
          <w:szCs w:val="24"/>
        </w:rPr>
        <w:t>Báo</w:t>
      </w:r>
      <w:proofErr w:type="spellEnd"/>
      <w:r w:rsidRPr="00797427">
        <w:rPr>
          <w:rFonts w:ascii="Times New Roman" w:hAnsi="Times New Roman"/>
          <w:sz w:val="24"/>
          <w:szCs w:val="24"/>
        </w:rPr>
        <w:t xml:space="preserve"> </w:t>
      </w:r>
      <w:proofErr w:type="spellStart"/>
      <w:r w:rsidRPr="00797427">
        <w:rPr>
          <w:rFonts w:ascii="Times New Roman" w:hAnsi="Times New Roman"/>
          <w:sz w:val="24"/>
          <w:szCs w:val="24"/>
        </w:rPr>
        <w:t>cáo</w:t>
      </w:r>
      <w:proofErr w:type="spellEnd"/>
      <w:r w:rsidRPr="00797427">
        <w:rPr>
          <w:rFonts w:ascii="Times New Roman" w:hAnsi="Times New Roman"/>
          <w:sz w:val="24"/>
          <w:szCs w:val="24"/>
        </w:rPr>
        <w:t xml:space="preserve"> </w:t>
      </w:r>
      <w:proofErr w:type="spellStart"/>
      <w:r w:rsidRPr="00797427">
        <w:rPr>
          <w:rFonts w:ascii="Times New Roman" w:hAnsi="Times New Roman"/>
          <w:sz w:val="24"/>
          <w:szCs w:val="24"/>
        </w:rPr>
        <w:t>kết</w:t>
      </w:r>
      <w:proofErr w:type="spellEnd"/>
      <w:r w:rsidRPr="00797427">
        <w:rPr>
          <w:rFonts w:ascii="Times New Roman" w:hAnsi="Times New Roman"/>
          <w:sz w:val="24"/>
          <w:szCs w:val="24"/>
        </w:rPr>
        <w:t xml:space="preserve"> </w:t>
      </w:r>
      <w:proofErr w:type="spellStart"/>
      <w:r w:rsidRPr="00797427">
        <w:rPr>
          <w:rFonts w:ascii="Times New Roman" w:hAnsi="Times New Roman"/>
          <w:sz w:val="24"/>
          <w:szCs w:val="24"/>
        </w:rPr>
        <w:t>quả</w:t>
      </w:r>
      <w:proofErr w:type="spellEnd"/>
      <w:r w:rsidRPr="00797427">
        <w:rPr>
          <w:rFonts w:ascii="Times New Roman" w:hAnsi="Times New Roman"/>
          <w:sz w:val="24"/>
          <w:szCs w:val="24"/>
        </w:rPr>
        <w:t xml:space="preserve"> </w:t>
      </w:r>
      <w:proofErr w:type="spellStart"/>
      <w:r w:rsidRPr="00797427">
        <w:rPr>
          <w:rFonts w:ascii="Times New Roman" w:hAnsi="Times New Roman"/>
          <w:sz w:val="24"/>
          <w:szCs w:val="24"/>
        </w:rPr>
        <w:t>hoạt</w:t>
      </w:r>
      <w:proofErr w:type="spellEnd"/>
      <w:r w:rsidRPr="00797427">
        <w:rPr>
          <w:rFonts w:ascii="Times New Roman" w:hAnsi="Times New Roman"/>
          <w:sz w:val="24"/>
          <w:szCs w:val="24"/>
        </w:rPr>
        <w:t xml:space="preserve"> </w:t>
      </w:r>
      <w:proofErr w:type="spellStart"/>
      <w:r w:rsidRPr="00797427">
        <w:rPr>
          <w:rFonts w:ascii="Times New Roman" w:hAnsi="Times New Roman"/>
          <w:sz w:val="24"/>
          <w:szCs w:val="24"/>
        </w:rPr>
        <w:t>động</w:t>
      </w:r>
      <w:proofErr w:type="spellEnd"/>
      <w:r w:rsidRPr="00797427">
        <w:rPr>
          <w:rFonts w:ascii="Times New Roman" w:hAnsi="Times New Roman"/>
          <w:sz w:val="24"/>
          <w:szCs w:val="24"/>
        </w:rPr>
        <w:t xml:space="preserve"> </w:t>
      </w:r>
      <w:proofErr w:type="spellStart"/>
      <w:r w:rsidRPr="00797427">
        <w:rPr>
          <w:rFonts w:ascii="Times New Roman" w:hAnsi="Times New Roman"/>
          <w:sz w:val="24"/>
          <w:szCs w:val="24"/>
        </w:rPr>
        <w:t>năm</w:t>
      </w:r>
      <w:proofErr w:type="spellEnd"/>
      <w:r w:rsidRPr="00797427">
        <w:rPr>
          <w:rFonts w:ascii="Times New Roman" w:hAnsi="Times New Roman"/>
          <w:sz w:val="24"/>
          <w:szCs w:val="24"/>
        </w:rPr>
        <w:t xml:space="preserve"> 2019 </w:t>
      </w:r>
      <w:proofErr w:type="spellStart"/>
      <w:r w:rsidRPr="00797427">
        <w:rPr>
          <w:rFonts w:ascii="Times New Roman" w:hAnsi="Times New Roman"/>
          <w:sz w:val="24"/>
          <w:szCs w:val="24"/>
        </w:rPr>
        <w:t>của</w:t>
      </w:r>
      <w:proofErr w:type="spellEnd"/>
      <w:r w:rsidRPr="00797427">
        <w:rPr>
          <w:rFonts w:ascii="Times New Roman" w:hAnsi="Times New Roman"/>
          <w:sz w:val="24"/>
          <w:szCs w:val="24"/>
        </w:rPr>
        <w:t xml:space="preserve"> </w:t>
      </w:r>
      <w:proofErr w:type="spellStart"/>
      <w:r w:rsidRPr="00797427">
        <w:rPr>
          <w:rFonts w:ascii="Times New Roman" w:hAnsi="Times New Roman"/>
          <w:sz w:val="24"/>
          <w:szCs w:val="24"/>
        </w:rPr>
        <w:t>Quỹ</w:t>
      </w:r>
      <w:proofErr w:type="spellEnd"/>
      <w:r w:rsidRPr="00797427">
        <w:rPr>
          <w:rFonts w:ascii="Times New Roman" w:hAnsi="Times New Roman"/>
          <w:sz w:val="24"/>
          <w:szCs w:val="24"/>
        </w:rPr>
        <w:t xml:space="preserve"> DFVN-</w:t>
      </w:r>
      <w:proofErr w:type="gramStart"/>
      <w:r w:rsidRPr="00797427">
        <w:rPr>
          <w:rFonts w:ascii="Times New Roman" w:hAnsi="Times New Roman"/>
          <w:sz w:val="24"/>
          <w:szCs w:val="24"/>
        </w:rPr>
        <w:t>CAF;</w:t>
      </w:r>
      <w:proofErr w:type="gramEnd"/>
    </w:p>
    <w:p w14:paraId="4BF4DEBC" w14:textId="77777777" w:rsidR="00797427" w:rsidRDefault="00797427" w:rsidP="00797427">
      <w:pPr>
        <w:pStyle w:val="ListParagraph"/>
        <w:numPr>
          <w:ilvl w:val="0"/>
          <w:numId w:val="18"/>
        </w:numPr>
        <w:tabs>
          <w:tab w:val="left" w:pos="270"/>
          <w:tab w:val="left" w:pos="1134"/>
        </w:tabs>
        <w:spacing w:before="120" w:after="120" w:line="300" w:lineRule="auto"/>
        <w:jc w:val="both"/>
        <w:rPr>
          <w:rFonts w:ascii="Times New Roman" w:hAnsi="Times New Roman"/>
          <w:sz w:val="24"/>
          <w:szCs w:val="24"/>
        </w:rPr>
      </w:pPr>
      <w:proofErr w:type="spellStart"/>
      <w:r w:rsidRPr="00E443F7">
        <w:rPr>
          <w:rFonts w:ascii="Times New Roman" w:hAnsi="Times New Roman"/>
          <w:sz w:val="24"/>
          <w:szCs w:val="24"/>
        </w:rPr>
        <w:t>Thông</w:t>
      </w:r>
      <w:proofErr w:type="spellEnd"/>
      <w:r w:rsidRPr="00E443F7">
        <w:rPr>
          <w:rFonts w:ascii="Times New Roman" w:hAnsi="Times New Roman"/>
          <w:sz w:val="24"/>
          <w:szCs w:val="24"/>
        </w:rPr>
        <w:t xml:space="preserve"> qua </w:t>
      </w:r>
      <w:proofErr w:type="spellStart"/>
      <w:r w:rsidRPr="00E443F7">
        <w:rPr>
          <w:rFonts w:ascii="Times New Roman" w:hAnsi="Times New Roman"/>
          <w:sz w:val="24"/>
          <w:szCs w:val="24"/>
        </w:rPr>
        <w:t>Báo</w:t>
      </w:r>
      <w:proofErr w:type="spellEnd"/>
      <w:r w:rsidRPr="00E443F7">
        <w:rPr>
          <w:rFonts w:ascii="Times New Roman" w:hAnsi="Times New Roman"/>
          <w:sz w:val="24"/>
          <w:szCs w:val="24"/>
        </w:rPr>
        <w:t xml:space="preserve"> </w:t>
      </w:r>
      <w:proofErr w:type="spellStart"/>
      <w:r w:rsidRPr="00E443F7">
        <w:rPr>
          <w:rFonts w:ascii="Times New Roman" w:hAnsi="Times New Roman"/>
          <w:sz w:val="24"/>
          <w:szCs w:val="24"/>
        </w:rPr>
        <w:t>cáo</w:t>
      </w:r>
      <w:proofErr w:type="spellEnd"/>
      <w:r w:rsidRPr="00E443F7">
        <w:rPr>
          <w:rFonts w:ascii="Times New Roman" w:hAnsi="Times New Roman"/>
          <w:sz w:val="24"/>
          <w:szCs w:val="24"/>
        </w:rPr>
        <w:t xml:space="preserve"> </w:t>
      </w:r>
      <w:proofErr w:type="spellStart"/>
      <w:r>
        <w:rPr>
          <w:rFonts w:ascii="Times New Roman" w:hAnsi="Times New Roman"/>
          <w:sz w:val="24"/>
          <w:szCs w:val="24"/>
        </w:rPr>
        <w:t>t</w:t>
      </w:r>
      <w:r w:rsidRPr="00E443F7">
        <w:rPr>
          <w:rFonts w:ascii="Times New Roman" w:hAnsi="Times New Roman"/>
          <w:sz w:val="24"/>
          <w:szCs w:val="24"/>
        </w:rPr>
        <w:t>ài</w:t>
      </w:r>
      <w:proofErr w:type="spellEnd"/>
      <w:r w:rsidRPr="00E443F7">
        <w:rPr>
          <w:rFonts w:ascii="Times New Roman" w:hAnsi="Times New Roman"/>
          <w:sz w:val="24"/>
          <w:szCs w:val="24"/>
        </w:rPr>
        <w:t xml:space="preserve"> </w:t>
      </w:r>
      <w:proofErr w:type="spellStart"/>
      <w:r w:rsidRPr="00E443F7">
        <w:rPr>
          <w:rFonts w:ascii="Times New Roman" w:hAnsi="Times New Roman"/>
          <w:sz w:val="24"/>
          <w:szCs w:val="24"/>
        </w:rPr>
        <w:t>chính</w:t>
      </w:r>
      <w:proofErr w:type="spellEnd"/>
      <w:r w:rsidRPr="00E443F7">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w:t>
      </w:r>
      <w:proofErr w:type="gramStart"/>
      <w:r>
        <w:rPr>
          <w:rFonts w:ascii="Times New Roman" w:hAnsi="Times New Roman"/>
          <w:sz w:val="24"/>
          <w:szCs w:val="24"/>
        </w:rPr>
        <w:t>CAF;</w:t>
      </w:r>
      <w:proofErr w:type="gramEnd"/>
    </w:p>
    <w:p w14:paraId="0C11A300" w14:textId="77777777" w:rsidR="00797427" w:rsidRDefault="00797427" w:rsidP="00797427">
      <w:pPr>
        <w:pStyle w:val="ListParagraph"/>
        <w:numPr>
          <w:ilvl w:val="0"/>
          <w:numId w:val="18"/>
        </w:numPr>
        <w:tabs>
          <w:tab w:val="left" w:pos="270"/>
          <w:tab w:val="left" w:pos="1134"/>
        </w:tabs>
        <w:spacing w:before="120" w:after="120" w:line="300" w:lineRule="auto"/>
        <w:jc w:val="both"/>
        <w:rPr>
          <w:rFonts w:ascii="Times New Roman" w:hAnsi="Times New Roman"/>
          <w:sz w:val="24"/>
          <w:szCs w:val="24"/>
        </w:rPr>
      </w:pP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hoạch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 </w:t>
      </w:r>
      <w:proofErr w:type="spellStart"/>
      <w:r>
        <w:rPr>
          <w:rFonts w:ascii="Times New Roman" w:hAnsi="Times New Roman"/>
          <w:sz w:val="24"/>
          <w:szCs w:val="24"/>
        </w:rPr>
        <w:t>năm</w:t>
      </w:r>
      <w:proofErr w:type="spellEnd"/>
      <w:r>
        <w:rPr>
          <w:rFonts w:ascii="Times New Roman" w:hAnsi="Times New Roman"/>
          <w:sz w:val="24"/>
          <w:szCs w:val="24"/>
        </w:rPr>
        <w:t xml:space="preserve"> 2020: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thù</w:t>
      </w:r>
      <w:proofErr w:type="spellEnd"/>
      <w:r>
        <w:rPr>
          <w:rFonts w:ascii="Times New Roman" w:hAnsi="Times New Roman"/>
          <w:sz w:val="24"/>
          <w:szCs w:val="24"/>
        </w:rPr>
        <w:t xml:space="preserve"> lao </w:t>
      </w:r>
      <w:proofErr w:type="spellStart"/>
      <w:r>
        <w:rPr>
          <w:rFonts w:ascii="Times New Roman" w:hAnsi="Times New Roman"/>
          <w:sz w:val="24"/>
          <w:szCs w:val="24"/>
        </w:rPr>
        <w:t>của</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5.000.000 VNĐ/</w:t>
      </w:r>
      <w:proofErr w:type="spellStart"/>
      <w:r>
        <w:rPr>
          <w:rFonts w:ascii="Times New Roman" w:hAnsi="Times New Roman"/>
          <w:sz w:val="24"/>
          <w:szCs w:val="24"/>
        </w:rPr>
        <w:t>tháng</w:t>
      </w:r>
      <w:proofErr w:type="spellEnd"/>
      <w:r>
        <w:rPr>
          <w:rFonts w:ascii="Times New Roman" w:hAnsi="Times New Roman"/>
          <w:sz w:val="24"/>
          <w:szCs w:val="24"/>
        </w:rPr>
        <w:t>/</w:t>
      </w:r>
      <w:proofErr w:type="spellStart"/>
      <w:r>
        <w:rPr>
          <w:rFonts w:ascii="Times New Roman" w:hAnsi="Times New Roman"/>
          <w:sz w:val="24"/>
          <w:szCs w:val="24"/>
        </w:rPr>
        <w:t>người</w:t>
      </w:r>
      <w:proofErr w:type="spellEnd"/>
      <w:r>
        <w:rPr>
          <w:rFonts w:ascii="Times New Roman" w:hAnsi="Times New Roman"/>
          <w:sz w:val="24"/>
          <w:szCs w:val="24"/>
        </w:rPr>
        <w:t xml:space="preserve">, (ii) </w:t>
      </w: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thù</w:t>
      </w:r>
      <w:proofErr w:type="spellEnd"/>
      <w:r>
        <w:rPr>
          <w:rFonts w:ascii="Times New Roman" w:hAnsi="Times New Roman"/>
          <w:sz w:val="24"/>
          <w:szCs w:val="24"/>
        </w:rPr>
        <w:t xml:space="preserve"> lao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 </w:t>
      </w:r>
      <w:proofErr w:type="spellStart"/>
      <w:r>
        <w:rPr>
          <w:rFonts w:ascii="Times New Roman" w:hAnsi="Times New Roman"/>
          <w:sz w:val="24"/>
          <w:szCs w:val="24"/>
        </w:rPr>
        <w:t>là</w:t>
      </w:r>
      <w:proofErr w:type="spellEnd"/>
      <w:r>
        <w:rPr>
          <w:rFonts w:ascii="Times New Roman" w:hAnsi="Times New Roman"/>
          <w:sz w:val="24"/>
          <w:szCs w:val="24"/>
        </w:rPr>
        <w:t xml:space="preserve"> 180.000.000 VNĐ</w:t>
      </w:r>
      <w:r w:rsidRPr="00E443F7">
        <w:rPr>
          <w:rFonts w:ascii="Times New Roman" w:hAnsi="Times New Roman"/>
          <w:sz w:val="24"/>
          <w:szCs w:val="24"/>
        </w:rPr>
        <w:t>;</w:t>
      </w:r>
    </w:p>
    <w:p w14:paraId="1BA6DC2B" w14:textId="77777777" w:rsidR="00797427" w:rsidRDefault="00797427" w:rsidP="00797427">
      <w:pPr>
        <w:pStyle w:val="ListParagraph"/>
        <w:numPr>
          <w:ilvl w:val="0"/>
          <w:numId w:val="18"/>
        </w:numPr>
        <w:tabs>
          <w:tab w:val="left" w:pos="270"/>
          <w:tab w:val="left" w:pos="1134"/>
        </w:tabs>
        <w:spacing w:before="120" w:after="120" w:line="300" w:lineRule="auto"/>
        <w:jc w:val="both"/>
        <w:rPr>
          <w:rFonts w:ascii="Times New Roman" w:hAnsi="Times New Roman"/>
          <w:sz w:val="24"/>
          <w:szCs w:val="24"/>
        </w:rPr>
      </w:pPr>
      <w:proofErr w:type="spellStart"/>
      <w:r>
        <w:rPr>
          <w:rFonts w:ascii="Times New Roman" w:hAnsi="Times New Roman"/>
          <w:sz w:val="24"/>
          <w:szCs w:val="24"/>
        </w:rPr>
        <w:t>Ủy</w:t>
      </w:r>
      <w:proofErr w:type="spellEnd"/>
      <w:r>
        <w:rPr>
          <w:rFonts w:ascii="Times New Roman" w:hAnsi="Times New Roman"/>
          <w:sz w:val="24"/>
          <w:szCs w:val="24"/>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lựa</w:t>
      </w:r>
      <w:proofErr w:type="spellEnd"/>
      <w:r>
        <w:rPr>
          <w:rFonts w:ascii="Times New Roman" w:hAnsi="Times New Roman"/>
          <w:sz w:val="24"/>
          <w:szCs w:val="24"/>
        </w:rPr>
        <w:t xml:space="preserve"> </w:t>
      </w:r>
      <w:proofErr w:type="spellStart"/>
      <w:r>
        <w:rPr>
          <w:rFonts w:ascii="Times New Roman" w:hAnsi="Times New Roman"/>
          <w:sz w:val="24"/>
          <w:szCs w:val="24"/>
        </w:rPr>
        <w:t>chọn</w:t>
      </w:r>
      <w:proofErr w:type="spellEnd"/>
      <w:r>
        <w:rPr>
          <w:rFonts w:ascii="Times New Roman" w:hAnsi="Times New Roman"/>
          <w:sz w:val="24"/>
          <w:szCs w:val="24"/>
        </w:rPr>
        <w:t xml:space="preserve"> 01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03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ty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KPMG, E&amp;Y </w:t>
      </w:r>
      <w:proofErr w:type="spellStart"/>
      <w:r>
        <w:rPr>
          <w:rFonts w:ascii="Times New Roman" w:hAnsi="Times New Roman"/>
          <w:sz w:val="24"/>
          <w:szCs w:val="24"/>
        </w:rPr>
        <w:t>và</w:t>
      </w:r>
      <w:proofErr w:type="spellEnd"/>
      <w:r>
        <w:rPr>
          <w:rFonts w:ascii="Times New Roman" w:hAnsi="Times New Roman"/>
          <w:sz w:val="24"/>
          <w:szCs w:val="24"/>
        </w:rPr>
        <w:t xml:space="preserve"> PWC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2020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w:t>
      </w:r>
      <w:proofErr w:type="gramStart"/>
      <w:r>
        <w:rPr>
          <w:rFonts w:ascii="Times New Roman" w:hAnsi="Times New Roman"/>
          <w:sz w:val="24"/>
          <w:szCs w:val="24"/>
        </w:rPr>
        <w:t>CAF;</w:t>
      </w:r>
      <w:proofErr w:type="gramEnd"/>
    </w:p>
    <w:p w14:paraId="6B5914B1" w14:textId="77777777" w:rsidR="00797427" w:rsidRPr="00754B60" w:rsidRDefault="00797427" w:rsidP="00797427">
      <w:pPr>
        <w:pStyle w:val="ListParagraph"/>
        <w:numPr>
          <w:ilvl w:val="0"/>
          <w:numId w:val="18"/>
        </w:numPr>
        <w:tabs>
          <w:tab w:val="left" w:pos="270"/>
          <w:tab w:val="left" w:pos="1134"/>
        </w:tabs>
        <w:spacing w:before="120" w:after="120" w:line="300" w:lineRule="auto"/>
        <w:jc w:val="both"/>
        <w:rPr>
          <w:rFonts w:ascii="Times New Roman" w:hAnsi="Times New Roman"/>
          <w:sz w:val="24"/>
          <w:szCs w:val="24"/>
        </w:rPr>
      </w:pP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hoạch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 </w:t>
      </w: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án</w:t>
      </w:r>
      <w:proofErr w:type="spellEnd"/>
      <w:r>
        <w:rPr>
          <w:rFonts w:ascii="Times New Roman" w:hAnsi="Times New Roman"/>
          <w:sz w:val="24"/>
          <w:szCs w:val="24"/>
        </w:rPr>
        <w:t xml:space="preserve"> KHÔNG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
    <w:p w14:paraId="4B871E91" w14:textId="25032D1C" w:rsidR="00D8620E" w:rsidRDefault="00797427" w:rsidP="00330B67">
      <w:pPr>
        <w:pStyle w:val="ListParagraph"/>
        <w:numPr>
          <w:ilvl w:val="0"/>
          <w:numId w:val="18"/>
        </w:numPr>
        <w:tabs>
          <w:tab w:val="left" w:pos="270"/>
          <w:tab w:val="left" w:pos="1134"/>
        </w:tabs>
        <w:spacing w:before="120" w:after="120" w:line="300" w:lineRule="auto"/>
        <w:jc w:val="both"/>
        <w:rPr>
          <w:rFonts w:ascii="Times New Roman" w:hAnsi="Times New Roman"/>
          <w:sz w:val="24"/>
          <w:szCs w:val="24"/>
          <w:lang w:val="pt-BR"/>
        </w:rPr>
      </w:pPr>
      <w:r w:rsidRPr="00D8620E">
        <w:rPr>
          <w:rFonts w:ascii="Times New Roman" w:hAnsi="Times New Roman"/>
          <w:sz w:val="24"/>
          <w:szCs w:val="24"/>
        </w:rPr>
        <w:t xml:space="preserve">Ý </w:t>
      </w:r>
      <w:proofErr w:type="spellStart"/>
      <w:r w:rsidRPr="00D8620E">
        <w:rPr>
          <w:rFonts w:ascii="Times New Roman" w:hAnsi="Times New Roman"/>
          <w:sz w:val="24"/>
          <w:szCs w:val="24"/>
        </w:rPr>
        <w:t>kiến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xét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nội</w:t>
      </w:r>
      <w:proofErr w:type="spellEnd"/>
      <w:r w:rsidRPr="00D8620E">
        <w:rPr>
          <w:rFonts w:ascii="Times New Roman" w:hAnsi="Times New Roman"/>
          <w:sz w:val="24"/>
          <w:szCs w:val="24"/>
        </w:rPr>
        <w:t xml:space="preserve"> dung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45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hướng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mở</w:t>
      </w:r>
      <w:proofErr w:type="spellEnd"/>
      <w:r w:rsidRPr="00D8620E">
        <w:rPr>
          <w:rFonts w:ascii="Times New Roman" w:hAnsi="Times New Roman"/>
          <w:sz w:val="24"/>
          <w:szCs w:val="24"/>
        </w:rPr>
        <w:t xml:space="preserve">: </w:t>
      </w:r>
      <w:proofErr w:type="spellStart"/>
      <w:r w:rsidRPr="00797427">
        <w:rPr>
          <w:rFonts w:ascii="Times New Roman" w:hAnsi="Times New Roman"/>
          <w:sz w:val="24"/>
          <w:szCs w:val="24"/>
        </w:rPr>
        <w:t>Công</w:t>
      </w:r>
      <w:proofErr w:type="spellEnd"/>
      <w:r w:rsidRPr="00797427">
        <w:rPr>
          <w:rFonts w:ascii="Times New Roman" w:hAnsi="Times New Roman"/>
          <w:sz w:val="24"/>
          <w:szCs w:val="24"/>
        </w:rPr>
        <w:t xml:space="preserve"> ty Quản lý Quỹ (“CTQLQ”) đã thực hiện nghiêm chỉnh việc lập các báo cáo tuần, tháng, quý, bán niên theo quy định cho Ủy Ban Chứng Khoán</w:t>
      </w:r>
      <w:r w:rsidRPr="00D8620E">
        <w:rPr>
          <w:rFonts w:ascii="Times New Roman" w:hAnsi="Times New Roman"/>
          <w:sz w:val="24"/>
          <w:szCs w:val="24"/>
          <w:lang w:val="pt-BR"/>
        </w:rPr>
        <w:t xml:space="preserve"> Nhà Nước.</w:t>
      </w:r>
    </w:p>
    <w:p w14:paraId="05E63F07" w14:textId="77777777" w:rsidR="00330B67" w:rsidRPr="00330B67" w:rsidRDefault="00330B67" w:rsidP="00330B67">
      <w:pPr>
        <w:pStyle w:val="ListParagraph"/>
        <w:tabs>
          <w:tab w:val="left" w:pos="270"/>
          <w:tab w:val="left" w:pos="1134"/>
        </w:tabs>
        <w:spacing w:before="120" w:after="120" w:line="300" w:lineRule="auto"/>
        <w:jc w:val="both"/>
        <w:rPr>
          <w:rFonts w:ascii="Times New Roman" w:hAnsi="Times New Roman"/>
          <w:sz w:val="24"/>
          <w:szCs w:val="24"/>
          <w:lang w:val="pt-BR"/>
        </w:rPr>
      </w:pPr>
    </w:p>
    <w:p w14:paraId="19AC9019" w14:textId="77777777" w:rsidR="00100534" w:rsidRPr="00D8620E"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D8620E">
        <w:rPr>
          <w:rFonts w:ascii="Times New Roman" w:hAnsi="Times New Roman"/>
          <w:b/>
          <w:sz w:val="24"/>
          <w:szCs w:val="24"/>
        </w:rPr>
        <w:t>Báo</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cáo</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về</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kết</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quả</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hoạt</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động</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của</w:t>
      </w:r>
      <w:proofErr w:type="spellEnd"/>
      <w:r w:rsidRPr="00D8620E">
        <w:rPr>
          <w:rFonts w:ascii="Times New Roman" w:hAnsi="Times New Roman"/>
          <w:b/>
          <w:sz w:val="24"/>
          <w:szCs w:val="24"/>
        </w:rPr>
        <w:t xml:space="preserve"> </w:t>
      </w:r>
      <w:proofErr w:type="spellStart"/>
      <w:r w:rsidR="004352B7" w:rsidRPr="00D8620E">
        <w:rPr>
          <w:rFonts w:ascii="Times New Roman" w:hAnsi="Times New Roman"/>
          <w:b/>
          <w:sz w:val="24"/>
          <w:szCs w:val="24"/>
        </w:rPr>
        <w:t>Q</w:t>
      </w:r>
      <w:r w:rsidRPr="00D8620E">
        <w:rPr>
          <w:rFonts w:ascii="Times New Roman" w:hAnsi="Times New Roman"/>
          <w:b/>
          <w:sz w:val="24"/>
          <w:szCs w:val="24"/>
        </w:rPr>
        <w:t>uỹ</w:t>
      </w:r>
      <w:proofErr w:type="spellEnd"/>
    </w:p>
    <w:p w14:paraId="0C20C662" w14:textId="77777777" w:rsidR="00CE15F6" w:rsidRPr="00D8620E" w:rsidRDefault="00100534" w:rsidP="00CE15F6">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i/>
          <w:sz w:val="24"/>
          <w:szCs w:val="24"/>
        </w:rPr>
      </w:pP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tin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ròng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điểm</w:t>
      </w:r>
      <w:proofErr w:type="spellEnd"/>
      <w:r w:rsidRPr="00D8620E">
        <w:rPr>
          <w:rFonts w:ascii="Times New Roman" w:hAnsi="Times New Roman"/>
          <w:sz w:val="24"/>
          <w:szCs w:val="24"/>
        </w:rPr>
        <w:t xml:space="preserve"> </w:t>
      </w:r>
      <w:r w:rsidR="00CE15F6" w:rsidRPr="00D8620E">
        <w:rPr>
          <w:rFonts w:ascii="Times New Roman" w:hAnsi="Times New Roman"/>
          <w:sz w:val="24"/>
          <w:szCs w:val="24"/>
        </w:rPr>
        <w:t>31</w:t>
      </w:r>
      <w:r w:rsidRPr="00D8620E">
        <w:rPr>
          <w:rFonts w:ascii="Times New Roman" w:hAnsi="Times New Roman"/>
          <w:sz w:val="24"/>
          <w:szCs w:val="24"/>
        </w:rPr>
        <w:t>/</w:t>
      </w:r>
      <w:r w:rsidR="00CE15F6" w:rsidRPr="00D8620E">
        <w:rPr>
          <w:rFonts w:ascii="Times New Roman" w:hAnsi="Times New Roman"/>
          <w:sz w:val="24"/>
          <w:szCs w:val="24"/>
        </w:rPr>
        <w:t>12</w:t>
      </w:r>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3 </w:t>
      </w:r>
      <w:proofErr w:type="spellStart"/>
      <w:r w:rsidRPr="00D8620E">
        <w:rPr>
          <w:rFonts w:ascii="Times New Roman" w:hAnsi="Times New Roman"/>
          <w:sz w:val="24"/>
          <w:szCs w:val="24"/>
        </w:rPr>
        <w:t>năm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nhấ</w:t>
      </w:r>
      <w:r w:rsidR="00FF6688" w:rsidRPr="00D8620E">
        <w:rPr>
          <w:rFonts w:ascii="Times New Roman" w:hAnsi="Times New Roman"/>
          <w:sz w:val="24"/>
          <w:szCs w:val="24"/>
        </w:rPr>
        <w:t>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cụ</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thể</w:t>
      </w:r>
      <w:proofErr w:type="spellEnd"/>
      <w:r w:rsidRPr="00D8620E">
        <w:rPr>
          <w:rFonts w:ascii="Times New Roman" w:hAnsi="Times New Roman"/>
          <w:sz w:val="24"/>
          <w:szCs w:val="24"/>
        </w:rPr>
        <w:t>:</w:t>
      </w:r>
    </w:p>
    <w:p w14:paraId="033C3D21" w14:textId="77777777" w:rsidR="00330B67" w:rsidRPr="00953F4D" w:rsidRDefault="00330B67" w:rsidP="00330B67">
      <w:pPr>
        <w:pStyle w:val="ListParagraph"/>
        <w:numPr>
          <w:ilvl w:val="0"/>
          <w:numId w:val="23"/>
        </w:numPr>
        <w:rPr>
          <w:rFonts w:ascii="Times New Roman" w:hAnsi="Times New Roman"/>
          <w:sz w:val="24"/>
          <w:szCs w:val="24"/>
        </w:rPr>
      </w:pPr>
      <w:r w:rsidRPr="00953F4D">
        <w:rPr>
          <w:rFonts w:ascii="Times New Roman" w:hAnsi="Times New Roman"/>
          <w:sz w:val="24"/>
          <w:szCs w:val="24"/>
        </w:rPr>
        <w:t xml:space="preserve">Danh </w:t>
      </w:r>
      <w:proofErr w:type="spellStart"/>
      <w:r w:rsidRPr="00953F4D">
        <w:rPr>
          <w:rFonts w:ascii="Times New Roman" w:hAnsi="Times New Roman"/>
          <w:sz w:val="24"/>
          <w:szCs w:val="24"/>
        </w:rPr>
        <w:t>mục</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đầu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tư</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Pr="00953F4D">
        <w:rPr>
          <w:rFonts w:ascii="Times New Roman" w:hAnsi="Times New Roman"/>
          <w:sz w:val="24"/>
          <w:szCs w:val="24"/>
        </w:rPr>
        <w:t xml:space="preserve"> DFVN-CAF </w:t>
      </w:r>
      <w:proofErr w:type="spellStart"/>
      <w:r w:rsidRPr="00953F4D">
        <w:rPr>
          <w:rFonts w:ascii="Times New Roman" w:hAnsi="Times New Roman"/>
          <w:sz w:val="24"/>
          <w:szCs w:val="24"/>
        </w:rPr>
        <w:t>được</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phân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bổ</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tỷ</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lệ</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đầu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tư</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theo</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ngành</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cổ</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phiếu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niêm</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yết</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như</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bảng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bên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dưới</w:t>
      </w:r>
      <w:proofErr w:type="spellEnd"/>
      <w:r w:rsidRPr="00953F4D">
        <w:rPr>
          <w:rFonts w:ascii="Times New Roman" w:hAnsi="Times New Roman"/>
          <w:sz w:val="24"/>
          <w:szCs w:val="24"/>
        </w:rPr>
        <w:t>:</w:t>
      </w:r>
    </w:p>
    <w:tbl>
      <w:tblPr>
        <w:tblW w:w="9630" w:type="dxa"/>
        <w:tblInd w:w="-5" w:type="dxa"/>
        <w:tblCellMar>
          <w:left w:w="0" w:type="dxa"/>
          <w:right w:w="0" w:type="dxa"/>
        </w:tblCellMar>
        <w:tblLook w:val="04A0" w:firstRow="1" w:lastRow="0" w:firstColumn="1" w:lastColumn="0" w:noHBand="0" w:noVBand="1"/>
      </w:tblPr>
      <w:tblGrid>
        <w:gridCol w:w="4230"/>
        <w:gridCol w:w="1890"/>
        <w:gridCol w:w="1800"/>
        <w:gridCol w:w="1710"/>
      </w:tblGrid>
      <w:tr w:rsidR="00CE15F6" w:rsidRPr="00D8620E" w14:paraId="08C59657" w14:textId="77777777" w:rsidTr="00D8620E">
        <w:trPr>
          <w:trHeight w:val="300"/>
        </w:trPr>
        <w:tc>
          <w:tcPr>
            <w:tcW w:w="4230" w:type="dxa"/>
            <w:vMerge w:val="restart"/>
            <w:tcBorders>
              <w:top w:val="single" w:sz="4" w:space="0" w:color="auto"/>
              <w:left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14:paraId="76E8FA92" w14:textId="77777777" w:rsidR="00CE15F6" w:rsidRPr="00D8620E" w:rsidRDefault="00CE15F6" w:rsidP="00C503F3">
            <w:pPr>
              <w:tabs>
                <w:tab w:val="left" w:pos="270"/>
                <w:tab w:val="left" w:pos="1134"/>
              </w:tabs>
              <w:spacing w:after="0" w:line="300" w:lineRule="auto"/>
              <w:jc w:val="center"/>
              <w:rPr>
                <w:rFonts w:ascii="Times New Roman" w:hAnsi="Times New Roman"/>
                <w:b/>
                <w:sz w:val="24"/>
                <w:szCs w:val="24"/>
                <w:lang w:val="nl-NL"/>
              </w:rPr>
            </w:pPr>
            <w:proofErr w:type="spellStart"/>
            <w:r w:rsidRPr="00D8620E">
              <w:rPr>
                <w:rFonts w:ascii="Times New Roman" w:hAnsi="Times New Roman"/>
                <w:b/>
                <w:sz w:val="24"/>
                <w:szCs w:val="24"/>
              </w:rPr>
              <w:t>Ngành</w:t>
            </w:r>
            <w:proofErr w:type="spellEnd"/>
          </w:p>
        </w:tc>
        <w:tc>
          <w:tcPr>
            <w:tcW w:w="5400" w:type="dxa"/>
            <w:gridSpan w:val="3"/>
            <w:tcBorders>
              <w:top w:val="single" w:sz="4" w:space="0" w:color="auto"/>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14:paraId="62E1BABB" w14:textId="77777777" w:rsidR="00CE15F6" w:rsidRPr="00D8620E" w:rsidRDefault="00CE15F6" w:rsidP="00C503F3">
            <w:pPr>
              <w:tabs>
                <w:tab w:val="left" w:pos="270"/>
                <w:tab w:val="left" w:pos="1134"/>
              </w:tabs>
              <w:spacing w:after="0" w:line="300" w:lineRule="auto"/>
              <w:jc w:val="center"/>
              <w:rPr>
                <w:rFonts w:ascii="Times New Roman" w:hAnsi="Times New Roman"/>
                <w:b/>
                <w:bCs/>
                <w:sz w:val="24"/>
                <w:szCs w:val="24"/>
              </w:rPr>
            </w:pPr>
            <w:r w:rsidRPr="00D8620E">
              <w:rPr>
                <w:rFonts w:ascii="Times New Roman" w:hAnsi="Times New Roman"/>
                <w:b/>
                <w:bCs/>
                <w:sz w:val="24"/>
                <w:szCs w:val="24"/>
              </w:rPr>
              <w:t>DFVN-CAF</w:t>
            </w:r>
          </w:p>
        </w:tc>
      </w:tr>
      <w:tr w:rsidR="0035694B" w:rsidRPr="00D8620E" w14:paraId="19373BA8" w14:textId="77777777" w:rsidTr="00D8620E">
        <w:trPr>
          <w:trHeight w:val="300"/>
        </w:trPr>
        <w:tc>
          <w:tcPr>
            <w:tcW w:w="4230" w:type="dxa"/>
            <w:vMerge/>
            <w:tcBorders>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14:paraId="1F254B7E" w14:textId="77777777" w:rsidR="0035694B" w:rsidRPr="00D8620E" w:rsidRDefault="0035694B" w:rsidP="0035694B">
            <w:pPr>
              <w:tabs>
                <w:tab w:val="left" w:pos="270"/>
                <w:tab w:val="left" w:pos="1134"/>
              </w:tabs>
              <w:spacing w:after="0" w:line="300" w:lineRule="auto"/>
              <w:jc w:val="both"/>
              <w:rPr>
                <w:rFonts w:ascii="Times New Roman" w:hAnsi="Times New Roman"/>
                <w:b/>
                <w:sz w:val="24"/>
                <w:szCs w:val="24"/>
              </w:rPr>
            </w:pPr>
          </w:p>
        </w:tc>
        <w:tc>
          <w:tcPr>
            <w:tcW w:w="189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14:paraId="74CDE9FA" w14:textId="77777777" w:rsidR="0035694B" w:rsidRPr="00C503F3" w:rsidRDefault="0035694B" w:rsidP="0035694B">
            <w:pPr>
              <w:tabs>
                <w:tab w:val="left" w:pos="270"/>
                <w:tab w:val="left" w:pos="1134"/>
              </w:tabs>
              <w:spacing w:after="0" w:line="300" w:lineRule="auto"/>
              <w:jc w:val="center"/>
              <w:rPr>
                <w:rFonts w:ascii="Times New Roman" w:hAnsi="Times New Roman"/>
                <w:b/>
                <w:sz w:val="24"/>
                <w:szCs w:val="24"/>
              </w:rPr>
            </w:pPr>
            <w:r>
              <w:rPr>
                <w:rFonts w:ascii="Times New Roman" w:hAnsi="Times New Roman"/>
                <w:b/>
                <w:sz w:val="24"/>
                <w:szCs w:val="24"/>
              </w:rPr>
              <w:t>31/12/2020</w:t>
            </w:r>
          </w:p>
        </w:tc>
        <w:tc>
          <w:tcPr>
            <w:tcW w:w="180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14:paraId="1A96076C" w14:textId="77777777" w:rsidR="0035694B" w:rsidRPr="00C503F3" w:rsidRDefault="0035694B" w:rsidP="0035694B">
            <w:pPr>
              <w:tabs>
                <w:tab w:val="left" w:pos="270"/>
                <w:tab w:val="left" w:pos="1134"/>
              </w:tabs>
              <w:spacing w:after="0" w:line="300" w:lineRule="auto"/>
              <w:jc w:val="center"/>
              <w:rPr>
                <w:rFonts w:ascii="Times New Roman" w:hAnsi="Times New Roman"/>
                <w:b/>
                <w:sz w:val="24"/>
                <w:szCs w:val="24"/>
              </w:rPr>
            </w:pPr>
            <w:r>
              <w:rPr>
                <w:rFonts w:ascii="Times New Roman" w:hAnsi="Times New Roman"/>
                <w:b/>
                <w:sz w:val="24"/>
                <w:szCs w:val="24"/>
              </w:rPr>
              <w:t>31/12/2019</w:t>
            </w:r>
          </w:p>
        </w:tc>
        <w:tc>
          <w:tcPr>
            <w:tcW w:w="171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14:paraId="08A7676B" w14:textId="77777777" w:rsidR="0035694B" w:rsidRPr="00C503F3" w:rsidRDefault="0035694B" w:rsidP="0035694B">
            <w:pPr>
              <w:tabs>
                <w:tab w:val="left" w:pos="270"/>
                <w:tab w:val="left" w:pos="1134"/>
              </w:tabs>
              <w:spacing w:after="0" w:line="300" w:lineRule="auto"/>
              <w:jc w:val="center"/>
              <w:rPr>
                <w:rFonts w:ascii="Times New Roman" w:hAnsi="Times New Roman"/>
                <w:b/>
                <w:sz w:val="24"/>
                <w:szCs w:val="24"/>
              </w:rPr>
            </w:pPr>
            <w:r>
              <w:rPr>
                <w:rFonts w:ascii="Times New Roman" w:hAnsi="Times New Roman"/>
                <w:b/>
                <w:sz w:val="24"/>
                <w:szCs w:val="24"/>
              </w:rPr>
              <w:t>31/12/2018 (*)</w:t>
            </w:r>
          </w:p>
        </w:tc>
      </w:tr>
      <w:tr w:rsidR="006D7719" w:rsidRPr="00D8620E" w14:paraId="320F920C" w14:textId="77777777"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6F84FF4"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chính</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F203F20" w14:textId="6779FA37" w:rsidR="006D7719" w:rsidRPr="00D8620E"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34,5%</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226F4B" w14:textId="4D810731"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34,5%</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143A5B"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7CB16848" w14:textId="77777777"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62B0CD"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Bất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động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25652A" w14:textId="69FDBC43" w:rsidR="006D7719" w:rsidRPr="00D8620E"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18,9%</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A6DB0B" w14:textId="462C51E6"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21,5%</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C2E0638"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61DA6987" w14:textId="77777777"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FA9F79"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Hàng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tiêu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dùng</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5C4AE9C" w14:textId="2D4EAC30" w:rsidR="006D7719" w:rsidRPr="00D8620E"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12,6%</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56B85B8" w14:textId="3E3079CA"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10,1%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8F59ED0"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70767ED9" w14:textId="77777777"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0F4353"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Bán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lẻ</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B96947A" w14:textId="64BD17BE" w:rsidR="006D7719" w:rsidRPr="00D8620E"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5,1%</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ACAF78A" w14:textId="4544BA4D"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8,7%</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7876691"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7CB5A926" w14:textId="77777777"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ED3130"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Công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nghiệp</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84B6B6" w14:textId="78ABF37C" w:rsidR="006D7719" w:rsidRPr="00D8620E"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9,3%</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8622767" w14:textId="77A8E23E"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7,0%</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88E789B"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1A6A6856" w14:textId="77777777"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02704A6"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lastRenderedPageBreak/>
              <w:t>Công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nghệ</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thông</w:t>
            </w:r>
            <w:proofErr w:type="spellEnd"/>
            <w:r w:rsidRPr="00D8620E">
              <w:rPr>
                <w:rFonts w:ascii="Times New Roman" w:eastAsia="Times New Roman" w:hAnsi="Times New Roman"/>
                <w:color w:val="000000"/>
                <w:sz w:val="24"/>
                <w:szCs w:val="24"/>
              </w:rPr>
              <w:t xml:space="preserve"> tin</w:t>
            </w:r>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3EA393B" w14:textId="24FC4AA7" w:rsidR="006D7719" w:rsidRPr="00D8620E"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2,1%</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A27FF9" w14:textId="7DC8B252"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4,7%</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1450BF"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435FAF8E" w14:textId="77777777"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F316083"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Tiền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mặt</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50876A" w14:textId="176DE2D6" w:rsidR="006D7719" w:rsidRPr="00D8620E"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2,2%</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067B0DE" w14:textId="6DA3E6B5"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4,2%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F919CD"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201959DA" w14:textId="77777777" w:rsidTr="00D8620E">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8DEAB82"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Vật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liệu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xây</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dựng</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1667AA9" w14:textId="43D6AC15" w:rsidR="006D7719" w:rsidRPr="00D8620E"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7,1%</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7C7677" w14:textId="1D948510"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3,9%</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8D9A19B"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72A65C3A" w14:textId="77777777" w:rsidTr="00D8620E">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98CFEC" w14:textId="77777777" w:rsidR="006D7719" w:rsidRPr="00D8620E" w:rsidRDefault="006D7719" w:rsidP="006D7719">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Tiện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ích</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6D4E67" w14:textId="65C16BB6" w:rsidR="006D7719" w:rsidRPr="00D8620E" w:rsidDel="00C108B3" w:rsidRDefault="006D7719" w:rsidP="006D7719">
            <w:pPr>
              <w:tabs>
                <w:tab w:val="left" w:pos="270"/>
                <w:tab w:val="left" w:pos="1134"/>
              </w:tabs>
              <w:spacing w:after="0" w:line="300" w:lineRule="auto"/>
              <w:jc w:val="center"/>
              <w:rPr>
                <w:rFonts w:ascii="Times New Roman" w:hAnsi="Times New Roman"/>
                <w:sz w:val="24"/>
                <w:szCs w:val="24"/>
                <w:lang w:val="vi-VN"/>
              </w:rPr>
            </w:pPr>
            <w:r>
              <w:rPr>
                <w:rFonts w:ascii="Times New Roman" w:hAnsi="Times New Roman"/>
                <w:sz w:val="24"/>
                <w:szCs w:val="24"/>
              </w:rPr>
              <w:t>5,4%</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8658BB3" w14:textId="484E0819" w:rsidR="006D7719" w:rsidRPr="00D8620E" w:rsidRDefault="006D7719" w:rsidP="001C6461">
            <w:pPr>
              <w:tabs>
                <w:tab w:val="left" w:pos="270"/>
                <w:tab w:val="left" w:pos="1134"/>
              </w:tabs>
              <w:spacing w:after="0" w:line="300" w:lineRule="auto"/>
              <w:jc w:val="center"/>
              <w:rPr>
                <w:rFonts w:ascii="Times New Roman" w:hAnsi="Times New Roman"/>
                <w:sz w:val="24"/>
                <w:szCs w:val="24"/>
              </w:rPr>
            </w:pPr>
            <w:r w:rsidRPr="00540C7D">
              <w:rPr>
                <w:rFonts w:ascii="Times New Roman" w:hAnsi="Times New Roman"/>
                <w:sz w:val="24"/>
                <w:szCs w:val="24"/>
                <w:lang w:val="vi-VN"/>
              </w:rPr>
              <w:t>3,7%</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AAD3A67" w14:textId="77777777" w:rsidR="006D7719" w:rsidRPr="00D8620E" w:rsidRDefault="006D7719" w:rsidP="006D7719">
            <w:pPr>
              <w:tabs>
                <w:tab w:val="left" w:pos="270"/>
                <w:tab w:val="left" w:pos="1134"/>
              </w:tabs>
              <w:spacing w:after="0" w:line="300" w:lineRule="auto"/>
              <w:jc w:val="both"/>
              <w:rPr>
                <w:rFonts w:ascii="Times New Roman" w:hAnsi="Times New Roman"/>
                <w:sz w:val="24"/>
                <w:szCs w:val="24"/>
              </w:rPr>
            </w:pPr>
          </w:p>
        </w:tc>
      </w:tr>
      <w:tr w:rsidR="006D7719" w:rsidRPr="00D8620E" w14:paraId="140308FD" w14:textId="77777777" w:rsidTr="00D8620E">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2D22F7" w14:textId="77777777" w:rsidR="006D7719" w:rsidRPr="00D8620E" w:rsidRDefault="006D7719" w:rsidP="006D7719">
            <w:pPr>
              <w:spacing w:after="0"/>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Năng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lượng</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A34E5A" w14:textId="74997EE5" w:rsidR="006D7719" w:rsidRPr="00D8620E" w:rsidRDefault="006D7719" w:rsidP="006D7719">
            <w:pPr>
              <w:tabs>
                <w:tab w:val="left" w:pos="270"/>
                <w:tab w:val="left" w:pos="1134"/>
              </w:tabs>
              <w:spacing w:after="0"/>
              <w:jc w:val="center"/>
              <w:rPr>
                <w:rFonts w:ascii="Times New Roman" w:hAnsi="Times New Roman"/>
                <w:sz w:val="24"/>
                <w:szCs w:val="24"/>
                <w:lang w:val="vi-VN"/>
              </w:rPr>
            </w:pPr>
            <w:r>
              <w:rPr>
                <w:rFonts w:ascii="Times New Roman" w:hAnsi="Times New Roman"/>
                <w:sz w:val="24"/>
                <w:szCs w:val="24"/>
              </w:rPr>
              <w:t>2,8%</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01867A" w14:textId="3FA612E6" w:rsidR="006D7719" w:rsidRPr="00D8620E" w:rsidRDefault="006D7719" w:rsidP="001C6461">
            <w:pPr>
              <w:tabs>
                <w:tab w:val="left" w:pos="270"/>
                <w:tab w:val="left" w:pos="1134"/>
              </w:tabs>
              <w:spacing w:after="0"/>
              <w:jc w:val="center"/>
              <w:rPr>
                <w:rFonts w:ascii="Times New Roman" w:hAnsi="Times New Roman"/>
                <w:sz w:val="24"/>
                <w:szCs w:val="24"/>
              </w:rPr>
            </w:pPr>
            <w:r w:rsidRPr="00540C7D">
              <w:rPr>
                <w:rFonts w:ascii="Times New Roman" w:hAnsi="Times New Roman"/>
                <w:sz w:val="24"/>
                <w:szCs w:val="24"/>
                <w:lang w:val="vi-VN"/>
              </w:rPr>
              <w:t>1,7%</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6909724" w14:textId="77777777" w:rsidR="006D7719" w:rsidRPr="00D8620E" w:rsidRDefault="006D7719" w:rsidP="006D7719">
            <w:pPr>
              <w:tabs>
                <w:tab w:val="left" w:pos="270"/>
                <w:tab w:val="left" w:pos="1134"/>
              </w:tabs>
              <w:spacing w:after="0"/>
              <w:jc w:val="both"/>
              <w:rPr>
                <w:rFonts w:ascii="Times New Roman" w:hAnsi="Times New Roman"/>
                <w:sz w:val="24"/>
                <w:szCs w:val="24"/>
              </w:rPr>
            </w:pPr>
          </w:p>
        </w:tc>
      </w:tr>
      <w:tr w:rsidR="006D7719" w:rsidRPr="00D8620E" w14:paraId="09B676B6" w14:textId="77777777" w:rsidTr="00D8620E">
        <w:trPr>
          <w:trHeight w:val="245"/>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7C7B45" w14:textId="77777777" w:rsidR="006D7719" w:rsidRPr="00D8620E" w:rsidRDefault="006D7719" w:rsidP="006D7719">
            <w:pPr>
              <w:spacing w:after="0"/>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cộng</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91EA18" w14:textId="035F8A9C" w:rsidR="006D7719" w:rsidRPr="00D8620E" w:rsidRDefault="006D7719" w:rsidP="006D7719">
            <w:pPr>
              <w:tabs>
                <w:tab w:val="left" w:pos="270"/>
                <w:tab w:val="left" w:pos="1134"/>
              </w:tabs>
              <w:spacing w:after="0"/>
              <w:jc w:val="center"/>
              <w:rPr>
                <w:rFonts w:ascii="Times New Roman" w:hAnsi="Times New Roman"/>
                <w:b/>
                <w:bCs/>
                <w:sz w:val="24"/>
                <w:szCs w:val="24"/>
              </w:rPr>
            </w:pPr>
            <w:r w:rsidRPr="00D8620E">
              <w:rPr>
                <w:rFonts w:ascii="Times New Roman" w:hAnsi="Times New Roman"/>
                <w:b/>
                <w:bCs/>
                <w:sz w:val="24"/>
                <w:szCs w:val="24"/>
              </w:rPr>
              <w:t>100,0%</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CE875E" w14:textId="0355364D" w:rsidR="006D7719" w:rsidRPr="00D8620E" w:rsidRDefault="006D7719" w:rsidP="001C6461">
            <w:pPr>
              <w:tabs>
                <w:tab w:val="left" w:pos="270"/>
                <w:tab w:val="left" w:pos="1134"/>
              </w:tabs>
              <w:spacing w:after="0"/>
              <w:jc w:val="center"/>
              <w:rPr>
                <w:rFonts w:ascii="Times New Roman" w:hAnsi="Times New Roman"/>
                <w:sz w:val="24"/>
                <w:szCs w:val="24"/>
              </w:rPr>
            </w:pPr>
            <w:r w:rsidRPr="00D8620E">
              <w:rPr>
                <w:rFonts w:ascii="Times New Roman" w:hAnsi="Times New Roman"/>
                <w:b/>
                <w:bCs/>
                <w:sz w:val="24"/>
                <w:szCs w:val="24"/>
              </w:rPr>
              <w:t>100,0%</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72BE32A" w14:textId="77777777" w:rsidR="006D7719" w:rsidRPr="00D8620E" w:rsidRDefault="006D7719" w:rsidP="006D7719">
            <w:pPr>
              <w:tabs>
                <w:tab w:val="left" w:pos="270"/>
                <w:tab w:val="left" w:pos="1134"/>
              </w:tabs>
              <w:spacing w:after="0"/>
              <w:jc w:val="both"/>
              <w:rPr>
                <w:rFonts w:ascii="Times New Roman" w:hAnsi="Times New Roman"/>
                <w:sz w:val="24"/>
                <w:szCs w:val="24"/>
              </w:rPr>
            </w:pPr>
          </w:p>
        </w:tc>
      </w:tr>
    </w:tbl>
    <w:p w14:paraId="37F4DD4A" w14:textId="77777777" w:rsidR="00CE15F6" w:rsidRPr="00953F4D" w:rsidRDefault="00CE15F6" w:rsidP="00D8620E">
      <w:pPr>
        <w:pStyle w:val="ListParagraph"/>
        <w:numPr>
          <w:ilvl w:val="0"/>
          <w:numId w:val="23"/>
        </w:numPr>
        <w:tabs>
          <w:tab w:val="left" w:pos="270"/>
          <w:tab w:val="left" w:pos="1134"/>
        </w:tabs>
        <w:spacing w:before="120" w:after="120" w:line="300" w:lineRule="auto"/>
        <w:jc w:val="both"/>
        <w:rPr>
          <w:rFonts w:ascii="Times New Roman" w:hAnsi="Times New Roman"/>
          <w:sz w:val="24"/>
          <w:szCs w:val="24"/>
        </w:rPr>
      </w:pPr>
      <w:proofErr w:type="spellStart"/>
      <w:r w:rsidRPr="00953F4D">
        <w:rPr>
          <w:rFonts w:ascii="Times New Roman" w:hAnsi="Times New Roman"/>
          <w:sz w:val="24"/>
          <w:szCs w:val="24"/>
        </w:rPr>
        <w:t>Giá</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trị</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tài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sản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ròng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00EC3454" w:rsidRPr="00953F4D">
        <w:rPr>
          <w:rFonts w:ascii="Times New Roman" w:hAnsi="Times New Roman"/>
          <w:sz w:val="24"/>
          <w:szCs w:val="24"/>
        </w:rPr>
        <w:t xml:space="preserve">; </w:t>
      </w:r>
      <w:proofErr w:type="spellStart"/>
      <w:r w:rsidRPr="00953F4D">
        <w:rPr>
          <w:rFonts w:ascii="Times New Roman" w:hAnsi="Times New Roman"/>
          <w:sz w:val="24"/>
          <w:szCs w:val="24"/>
        </w:rPr>
        <w:t>Giá</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trị</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tài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sản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ròng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trên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một</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đơn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vị</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số</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lượng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chứng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chỉ</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đang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lưu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hành</w:t>
      </w:r>
      <w:proofErr w:type="spellEnd"/>
      <w:r w:rsidRPr="00953F4D">
        <w:rPr>
          <w:rFonts w:ascii="Times New Roman" w:hAnsi="Times New Roman"/>
          <w:sz w:val="24"/>
          <w:szCs w:val="24"/>
        </w:rPr>
        <w:t>;</w:t>
      </w:r>
      <w:r w:rsidR="00EC3454" w:rsidRPr="00953F4D">
        <w:rPr>
          <w:rFonts w:ascii="Times New Roman" w:hAnsi="Times New Roman"/>
          <w:sz w:val="24"/>
          <w:szCs w:val="24"/>
        </w:rPr>
        <w:t xml:space="preserve"> </w:t>
      </w:r>
      <w:proofErr w:type="spellStart"/>
      <w:r w:rsidRPr="00953F4D">
        <w:rPr>
          <w:rFonts w:ascii="Times New Roman" w:hAnsi="Times New Roman"/>
          <w:sz w:val="24"/>
          <w:szCs w:val="24"/>
        </w:rPr>
        <w:t>Giá</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trị</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tài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sản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ròng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trên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một</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đơn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vị</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cao</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nhất</w:t>
      </w:r>
      <w:proofErr w:type="spellEnd"/>
      <w:r w:rsidRPr="00953F4D">
        <w:rPr>
          <w:rFonts w:ascii="Times New Roman" w:hAnsi="Times New Roman"/>
          <w:sz w:val="24"/>
          <w:szCs w:val="24"/>
        </w:rPr>
        <w:t>/</w:t>
      </w:r>
      <w:proofErr w:type="spellStart"/>
      <w:r w:rsidRPr="00953F4D">
        <w:rPr>
          <w:rFonts w:ascii="Times New Roman" w:hAnsi="Times New Roman"/>
          <w:sz w:val="24"/>
          <w:szCs w:val="24"/>
        </w:rPr>
        <w:t>thấp</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nhất</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trong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năm</w:t>
      </w:r>
      <w:proofErr w:type="spellEnd"/>
      <w:r w:rsidR="00EC3454" w:rsidRPr="00953F4D">
        <w:rPr>
          <w:rFonts w:ascii="Times New Roman" w:hAnsi="Times New Roman"/>
          <w:sz w:val="24"/>
          <w:szCs w:val="24"/>
        </w:rPr>
        <w:t>:</w:t>
      </w:r>
    </w:p>
    <w:tbl>
      <w:tblPr>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1"/>
        <w:gridCol w:w="1984"/>
        <w:gridCol w:w="1716"/>
        <w:gridCol w:w="1709"/>
      </w:tblGrid>
      <w:tr w:rsidR="0035694B" w:rsidRPr="00D8620E" w14:paraId="1907099E" w14:textId="77777777" w:rsidTr="0087495C">
        <w:trPr>
          <w:trHeight w:val="330"/>
        </w:trPr>
        <w:tc>
          <w:tcPr>
            <w:tcW w:w="4221" w:type="dxa"/>
            <w:shd w:val="clear" w:color="auto" w:fill="8DB3E2" w:themeFill="text2" w:themeFillTint="66"/>
            <w:vAlign w:val="center"/>
            <w:hideMark/>
          </w:tcPr>
          <w:p w14:paraId="47DA2A10" w14:textId="77777777" w:rsidR="0035694B" w:rsidRPr="00D8620E" w:rsidRDefault="0035694B" w:rsidP="0035694B">
            <w:pPr>
              <w:spacing w:before="120" w:after="120" w:line="240" w:lineRule="auto"/>
              <w:jc w:val="center"/>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Chỉ</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tiêu</w:t>
            </w:r>
            <w:proofErr w:type="spellEnd"/>
          </w:p>
        </w:tc>
        <w:tc>
          <w:tcPr>
            <w:tcW w:w="1984" w:type="dxa"/>
            <w:shd w:val="clear" w:color="auto" w:fill="8DB3E2" w:themeFill="text2" w:themeFillTint="66"/>
            <w:vAlign w:val="center"/>
            <w:hideMark/>
          </w:tcPr>
          <w:p w14:paraId="178C7AE9" w14:textId="77777777" w:rsidR="0035694B" w:rsidRPr="00903EF1" w:rsidRDefault="0035694B" w:rsidP="0035694B">
            <w:pPr>
              <w:spacing w:after="0" w:line="240" w:lineRule="auto"/>
              <w:jc w:val="center"/>
              <w:rPr>
                <w:rFonts w:ascii="Times New Roman" w:eastAsia="Times New Roman" w:hAnsi="Times New Roman"/>
                <w:b/>
                <w:bCs/>
                <w:color w:val="000000"/>
                <w:sz w:val="24"/>
                <w:szCs w:val="24"/>
              </w:rPr>
            </w:pPr>
            <w:r w:rsidRPr="00903EF1">
              <w:rPr>
                <w:rFonts w:ascii="Times New Roman" w:eastAsia="Times New Roman" w:hAnsi="Times New Roman"/>
                <w:b/>
                <w:bCs/>
                <w:color w:val="000000"/>
                <w:sz w:val="24"/>
                <w:szCs w:val="24"/>
              </w:rPr>
              <w:t>31/12/20</w:t>
            </w:r>
            <w:r>
              <w:rPr>
                <w:rFonts w:ascii="Times New Roman" w:eastAsia="Times New Roman" w:hAnsi="Times New Roman"/>
                <w:b/>
                <w:bCs/>
                <w:color w:val="000000"/>
                <w:sz w:val="24"/>
                <w:szCs w:val="24"/>
              </w:rPr>
              <w:t>20</w:t>
            </w:r>
          </w:p>
        </w:tc>
        <w:tc>
          <w:tcPr>
            <w:tcW w:w="1716" w:type="dxa"/>
            <w:shd w:val="clear" w:color="auto" w:fill="8DB3E2" w:themeFill="text2" w:themeFillTint="66"/>
            <w:vAlign w:val="center"/>
            <w:hideMark/>
          </w:tcPr>
          <w:p w14:paraId="035400FC" w14:textId="77777777" w:rsidR="0035694B" w:rsidRPr="00903EF1" w:rsidRDefault="0035694B" w:rsidP="0035694B">
            <w:pPr>
              <w:spacing w:after="0" w:line="240" w:lineRule="auto"/>
              <w:jc w:val="center"/>
              <w:rPr>
                <w:rFonts w:ascii="Times New Roman" w:eastAsia="Times New Roman" w:hAnsi="Times New Roman"/>
                <w:b/>
                <w:bCs/>
                <w:color w:val="000000"/>
                <w:sz w:val="24"/>
                <w:szCs w:val="24"/>
              </w:rPr>
            </w:pPr>
            <w:r w:rsidRPr="00903EF1">
              <w:rPr>
                <w:rFonts w:ascii="Times New Roman" w:eastAsia="Times New Roman" w:hAnsi="Times New Roman"/>
                <w:b/>
                <w:bCs/>
                <w:color w:val="000000"/>
                <w:sz w:val="24"/>
                <w:szCs w:val="24"/>
              </w:rPr>
              <w:t>31/12/2019</w:t>
            </w:r>
          </w:p>
        </w:tc>
        <w:tc>
          <w:tcPr>
            <w:tcW w:w="1709" w:type="dxa"/>
            <w:shd w:val="clear" w:color="auto" w:fill="8DB3E2" w:themeFill="text2" w:themeFillTint="66"/>
            <w:vAlign w:val="center"/>
            <w:hideMark/>
          </w:tcPr>
          <w:p w14:paraId="48B669D6" w14:textId="77777777" w:rsidR="0035694B" w:rsidRPr="00903EF1" w:rsidRDefault="0035694B" w:rsidP="0035694B">
            <w:pPr>
              <w:spacing w:after="0" w:line="240" w:lineRule="auto"/>
              <w:jc w:val="center"/>
              <w:rPr>
                <w:rFonts w:ascii="Times New Roman" w:eastAsia="Times New Roman" w:hAnsi="Times New Roman"/>
                <w:b/>
                <w:bCs/>
                <w:color w:val="000000"/>
                <w:sz w:val="24"/>
                <w:szCs w:val="24"/>
              </w:rPr>
            </w:pPr>
            <w:r w:rsidRPr="00903EF1">
              <w:rPr>
                <w:rFonts w:ascii="Times New Roman" w:eastAsia="Times New Roman" w:hAnsi="Times New Roman"/>
                <w:b/>
                <w:bCs/>
                <w:color w:val="000000"/>
                <w:sz w:val="24"/>
                <w:szCs w:val="24"/>
              </w:rPr>
              <w:t>31/12/2018</w:t>
            </w:r>
            <w:r>
              <w:rPr>
                <w:rFonts w:ascii="Times New Roman" w:eastAsia="Times New Roman" w:hAnsi="Times New Roman"/>
                <w:b/>
                <w:bCs/>
                <w:color w:val="000000"/>
                <w:sz w:val="24"/>
                <w:szCs w:val="24"/>
              </w:rPr>
              <w:t xml:space="preserve"> (*)</w:t>
            </w:r>
          </w:p>
        </w:tc>
      </w:tr>
      <w:tr w:rsidR="0087495C" w:rsidRPr="00D8620E" w14:paraId="791B72AB" w14:textId="77777777" w:rsidTr="0087495C">
        <w:trPr>
          <w:trHeight w:val="330"/>
        </w:trPr>
        <w:tc>
          <w:tcPr>
            <w:tcW w:w="4221" w:type="dxa"/>
            <w:shd w:val="clear" w:color="auto" w:fill="auto"/>
            <w:vAlign w:val="center"/>
            <w:hideMark/>
          </w:tcPr>
          <w:p w14:paraId="3E08B8D5" w14:textId="77777777" w:rsidR="0087495C" w:rsidRPr="00D8620E" w:rsidRDefault="0087495C" w:rsidP="0087495C">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của</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(V</w:t>
            </w:r>
            <w:r>
              <w:rPr>
                <w:rFonts w:ascii="Times New Roman" w:eastAsia="Times New Roman" w:hAnsi="Times New Roman"/>
                <w:color w:val="000000"/>
                <w:sz w:val="24"/>
                <w:szCs w:val="24"/>
              </w:rPr>
              <w:t>ND</w:t>
            </w:r>
            <w:r w:rsidRPr="00D8620E">
              <w:rPr>
                <w:rFonts w:ascii="Times New Roman" w:eastAsia="Times New Roman" w:hAnsi="Times New Roman"/>
                <w:color w:val="000000"/>
                <w:sz w:val="24"/>
                <w:szCs w:val="24"/>
              </w:rPr>
              <w:t>)</w:t>
            </w:r>
          </w:p>
        </w:tc>
        <w:tc>
          <w:tcPr>
            <w:tcW w:w="1984" w:type="dxa"/>
            <w:shd w:val="clear" w:color="auto" w:fill="auto"/>
            <w:vAlign w:val="center"/>
          </w:tcPr>
          <w:p w14:paraId="6FA79353" w14:textId="77E1494B" w:rsidR="0087495C" w:rsidRPr="00D8620E" w:rsidRDefault="0087495C" w:rsidP="0087495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w:t>
            </w:r>
            <w:r w:rsidRPr="0087495C">
              <w:rPr>
                <w:rFonts w:ascii="Times New Roman" w:eastAsia="Times New Roman" w:hAnsi="Times New Roman"/>
                <w:color w:val="000000"/>
                <w:sz w:val="24"/>
                <w:szCs w:val="24"/>
              </w:rPr>
              <w:t xml:space="preserve"> 102,601,036,261</w:t>
            </w:r>
          </w:p>
        </w:tc>
        <w:tc>
          <w:tcPr>
            <w:tcW w:w="1716" w:type="dxa"/>
            <w:shd w:val="clear" w:color="auto" w:fill="auto"/>
            <w:vAlign w:val="center"/>
          </w:tcPr>
          <w:p w14:paraId="0ACBD017" w14:textId="77777777" w:rsidR="0087495C" w:rsidRPr="00D8620E" w:rsidRDefault="0087495C" w:rsidP="0087495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80.870.153.926 </w:t>
            </w:r>
          </w:p>
        </w:tc>
        <w:tc>
          <w:tcPr>
            <w:tcW w:w="1709" w:type="dxa"/>
            <w:shd w:val="clear" w:color="auto" w:fill="auto"/>
            <w:vAlign w:val="center"/>
          </w:tcPr>
          <w:p w14:paraId="47FABC6D" w14:textId="77777777" w:rsidR="0087495C" w:rsidRPr="00D8620E" w:rsidRDefault="0087495C" w:rsidP="0087495C">
            <w:pPr>
              <w:spacing w:after="0" w:line="240" w:lineRule="auto"/>
              <w:jc w:val="right"/>
              <w:rPr>
                <w:rFonts w:ascii="Times New Roman" w:eastAsia="Times New Roman" w:hAnsi="Times New Roman"/>
                <w:color w:val="000000"/>
                <w:sz w:val="24"/>
                <w:szCs w:val="24"/>
              </w:rPr>
            </w:pPr>
          </w:p>
        </w:tc>
      </w:tr>
      <w:tr w:rsidR="0087495C" w:rsidRPr="00D8620E" w14:paraId="6D2337D7" w14:textId="77777777" w:rsidTr="0087495C">
        <w:trPr>
          <w:trHeight w:val="645"/>
        </w:trPr>
        <w:tc>
          <w:tcPr>
            <w:tcW w:w="4221" w:type="dxa"/>
            <w:shd w:val="clear" w:color="auto" w:fill="auto"/>
            <w:vAlign w:val="center"/>
            <w:hideMark/>
          </w:tcPr>
          <w:p w14:paraId="2D0AF87E" w14:textId="12B5E606" w:rsidR="0087495C" w:rsidRPr="00D8620E" w:rsidRDefault="0087495C" w:rsidP="0087495C">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(V</w:t>
            </w:r>
            <w:r>
              <w:rPr>
                <w:rFonts w:ascii="Times New Roman" w:eastAsia="Times New Roman" w:hAnsi="Times New Roman"/>
                <w:color w:val="000000"/>
                <w:sz w:val="24"/>
                <w:szCs w:val="24"/>
              </w:rPr>
              <w:t>ND</w:t>
            </w:r>
            <w:r w:rsidRPr="00D8620E">
              <w:rPr>
                <w:rFonts w:ascii="Times New Roman" w:eastAsia="Times New Roman" w:hAnsi="Times New Roman"/>
                <w:color w:val="000000"/>
                <w:sz w:val="24"/>
                <w:szCs w:val="24"/>
              </w:rPr>
              <w:t>C</w:t>
            </w:r>
            <w:r>
              <w:rPr>
                <w:rFonts w:ascii="Times New Roman" w:eastAsia="Times New Roman" w:hAnsi="Times New Roman"/>
                <w:color w:val="000000"/>
                <w:sz w:val="24"/>
                <w:szCs w:val="24"/>
              </w:rPr>
              <w:t>CQ</w:t>
            </w:r>
            <w:r w:rsidRPr="00D8620E">
              <w:rPr>
                <w:rFonts w:ascii="Times New Roman" w:eastAsia="Times New Roman" w:hAnsi="Times New Roman"/>
                <w:color w:val="000000"/>
                <w:sz w:val="24"/>
                <w:szCs w:val="24"/>
              </w:rPr>
              <w:t>)</w:t>
            </w:r>
          </w:p>
        </w:tc>
        <w:tc>
          <w:tcPr>
            <w:tcW w:w="1984" w:type="dxa"/>
            <w:shd w:val="clear" w:color="auto" w:fill="auto"/>
            <w:vAlign w:val="center"/>
          </w:tcPr>
          <w:p w14:paraId="18EBC2AE" w14:textId="1ADA6B04" w:rsidR="0087495C" w:rsidRPr="00D8620E" w:rsidRDefault="0087495C" w:rsidP="0087495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w:t>
            </w:r>
            <w:r w:rsidRPr="0087495C">
              <w:rPr>
                <w:rFonts w:ascii="Times New Roman" w:eastAsia="Times New Roman" w:hAnsi="Times New Roman"/>
                <w:color w:val="000000"/>
                <w:sz w:val="24"/>
                <w:szCs w:val="24"/>
              </w:rPr>
              <w:t xml:space="preserve"> 12,627.67</w:t>
            </w:r>
          </w:p>
        </w:tc>
        <w:tc>
          <w:tcPr>
            <w:tcW w:w="1716" w:type="dxa"/>
            <w:shd w:val="clear" w:color="auto" w:fill="auto"/>
            <w:vAlign w:val="center"/>
          </w:tcPr>
          <w:p w14:paraId="27985CF0" w14:textId="77777777" w:rsidR="0087495C" w:rsidRPr="00D8620E" w:rsidRDefault="0087495C" w:rsidP="0087495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10.438,11 </w:t>
            </w:r>
          </w:p>
        </w:tc>
        <w:tc>
          <w:tcPr>
            <w:tcW w:w="1709" w:type="dxa"/>
            <w:shd w:val="clear" w:color="auto" w:fill="auto"/>
            <w:vAlign w:val="center"/>
          </w:tcPr>
          <w:p w14:paraId="1B3220DB" w14:textId="77777777" w:rsidR="0087495C" w:rsidRPr="00D8620E" w:rsidRDefault="0087495C" w:rsidP="0087495C">
            <w:pPr>
              <w:spacing w:after="0" w:line="240" w:lineRule="auto"/>
              <w:jc w:val="right"/>
              <w:rPr>
                <w:rFonts w:ascii="Times New Roman" w:eastAsia="Times New Roman" w:hAnsi="Times New Roman"/>
                <w:color w:val="000000"/>
                <w:sz w:val="24"/>
                <w:szCs w:val="24"/>
              </w:rPr>
            </w:pPr>
          </w:p>
        </w:tc>
      </w:tr>
      <w:tr w:rsidR="0087495C" w:rsidRPr="00D8620E" w14:paraId="190C2DF3" w14:textId="77777777" w:rsidTr="0087495C">
        <w:trPr>
          <w:trHeight w:val="645"/>
        </w:trPr>
        <w:tc>
          <w:tcPr>
            <w:tcW w:w="4221" w:type="dxa"/>
            <w:shd w:val="clear" w:color="auto" w:fill="auto"/>
            <w:vAlign w:val="center"/>
            <w:hideMark/>
          </w:tcPr>
          <w:p w14:paraId="7B221B7A" w14:textId="67463F41" w:rsidR="0087495C" w:rsidRPr="00D8620E" w:rsidRDefault="0087495C" w:rsidP="0087495C">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Số</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lượng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chứng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chỉ</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đang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hành</w:t>
            </w:r>
            <w:proofErr w:type="spellEnd"/>
            <w:r w:rsidRPr="00D8620E">
              <w:rPr>
                <w:rFonts w:ascii="Times New Roman" w:eastAsia="Times New Roman" w:hAnsi="Times New Roman"/>
                <w:color w:val="000000"/>
                <w:sz w:val="24"/>
                <w:szCs w:val="24"/>
              </w:rPr>
              <w:t xml:space="preserve"> (CCQ)</w:t>
            </w:r>
          </w:p>
        </w:tc>
        <w:tc>
          <w:tcPr>
            <w:tcW w:w="1984" w:type="dxa"/>
            <w:shd w:val="clear" w:color="auto" w:fill="auto"/>
            <w:vAlign w:val="center"/>
          </w:tcPr>
          <w:p w14:paraId="66851892" w14:textId="22444D4E" w:rsidR="0087495C" w:rsidRPr="00D8620E" w:rsidRDefault="0087495C" w:rsidP="0087495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w:t>
            </w:r>
            <w:r w:rsidRPr="0087495C">
              <w:rPr>
                <w:rFonts w:ascii="Times New Roman" w:eastAsia="Times New Roman" w:hAnsi="Times New Roman"/>
                <w:color w:val="000000"/>
                <w:sz w:val="24"/>
                <w:szCs w:val="24"/>
              </w:rPr>
              <w:t xml:space="preserve"> 8,125,094.24</w:t>
            </w:r>
          </w:p>
        </w:tc>
        <w:tc>
          <w:tcPr>
            <w:tcW w:w="1716" w:type="dxa"/>
            <w:shd w:val="clear" w:color="auto" w:fill="auto"/>
            <w:vAlign w:val="center"/>
          </w:tcPr>
          <w:p w14:paraId="1B0C7F9E" w14:textId="77777777" w:rsidR="0087495C" w:rsidRPr="00D8620E" w:rsidRDefault="0087495C" w:rsidP="0087495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7.747.580,49 </w:t>
            </w:r>
          </w:p>
        </w:tc>
        <w:tc>
          <w:tcPr>
            <w:tcW w:w="1709" w:type="dxa"/>
            <w:shd w:val="clear" w:color="auto" w:fill="auto"/>
            <w:vAlign w:val="center"/>
          </w:tcPr>
          <w:p w14:paraId="49889D6D" w14:textId="77777777" w:rsidR="0087495C" w:rsidRPr="00D8620E" w:rsidRDefault="0087495C" w:rsidP="0087495C">
            <w:pPr>
              <w:spacing w:after="0" w:line="240" w:lineRule="auto"/>
              <w:jc w:val="right"/>
              <w:rPr>
                <w:rFonts w:ascii="Times New Roman" w:eastAsia="Times New Roman" w:hAnsi="Times New Roman"/>
                <w:color w:val="000000"/>
                <w:sz w:val="24"/>
                <w:szCs w:val="24"/>
              </w:rPr>
            </w:pPr>
          </w:p>
        </w:tc>
      </w:tr>
      <w:tr w:rsidR="0087495C" w:rsidRPr="00D8620E" w14:paraId="3EC42815" w14:textId="77777777" w:rsidTr="0087495C">
        <w:trPr>
          <w:trHeight w:val="645"/>
        </w:trPr>
        <w:tc>
          <w:tcPr>
            <w:tcW w:w="4221" w:type="dxa"/>
            <w:shd w:val="clear" w:color="auto" w:fill="auto"/>
            <w:vAlign w:val="center"/>
            <w:hideMark/>
          </w:tcPr>
          <w:p w14:paraId="034B8478" w14:textId="77777777" w:rsidR="0087495C" w:rsidRPr="00D8620E" w:rsidRDefault="0087495C" w:rsidP="0087495C">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cao</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nhất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trong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năm</w:t>
            </w:r>
            <w:proofErr w:type="spellEnd"/>
            <w:r w:rsidRPr="00D8620E">
              <w:rPr>
                <w:rFonts w:ascii="Times New Roman" w:eastAsia="Times New Roman" w:hAnsi="Times New Roman"/>
                <w:color w:val="000000"/>
                <w:sz w:val="24"/>
                <w:szCs w:val="24"/>
              </w:rPr>
              <w:t xml:space="preserve"> (V</w:t>
            </w:r>
            <w:r>
              <w:rPr>
                <w:rFonts w:ascii="Times New Roman" w:eastAsia="Times New Roman" w:hAnsi="Times New Roman"/>
                <w:color w:val="000000"/>
                <w:sz w:val="24"/>
                <w:szCs w:val="24"/>
              </w:rPr>
              <w:t>ND</w:t>
            </w:r>
            <w:r w:rsidRPr="00D8620E">
              <w:rPr>
                <w:rFonts w:ascii="Times New Roman" w:eastAsia="Times New Roman" w:hAnsi="Times New Roman"/>
                <w:color w:val="000000"/>
                <w:sz w:val="24"/>
                <w:szCs w:val="24"/>
              </w:rPr>
              <w:t>/C</w:t>
            </w:r>
            <w:r>
              <w:rPr>
                <w:rFonts w:ascii="Times New Roman" w:eastAsia="Times New Roman" w:hAnsi="Times New Roman"/>
                <w:color w:val="000000"/>
                <w:sz w:val="24"/>
                <w:szCs w:val="24"/>
              </w:rPr>
              <w:t>CQ</w:t>
            </w:r>
            <w:r w:rsidRPr="00D8620E">
              <w:rPr>
                <w:rFonts w:ascii="Times New Roman" w:eastAsia="Times New Roman" w:hAnsi="Times New Roman"/>
                <w:color w:val="000000"/>
                <w:sz w:val="24"/>
                <w:szCs w:val="24"/>
              </w:rPr>
              <w:t>)</w:t>
            </w:r>
          </w:p>
        </w:tc>
        <w:tc>
          <w:tcPr>
            <w:tcW w:w="1984" w:type="dxa"/>
            <w:shd w:val="clear" w:color="auto" w:fill="auto"/>
            <w:vAlign w:val="center"/>
          </w:tcPr>
          <w:p w14:paraId="0325A41F" w14:textId="2A0804D0" w:rsidR="0087495C" w:rsidRPr="00D8620E" w:rsidRDefault="0087495C" w:rsidP="0087495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w:t>
            </w:r>
            <w:r w:rsidRPr="0087495C">
              <w:rPr>
                <w:rFonts w:ascii="Times New Roman" w:eastAsia="Times New Roman" w:hAnsi="Times New Roman"/>
                <w:color w:val="000000"/>
                <w:sz w:val="24"/>
                <w:szCs w:val="24"/>
              </w:rPr>
              <w:t xml:space="preserve"> 12,627.67</w:t>
            </w:r>
          </w:p>
        </w:tc>
        <w:tc>
          <w:tcPr>
            <w:tcW w:w="1716" w:type="dxa"/>
            <w:shd w:val="clear" w:color="auto" w:fill="auto"/>
            <w:vAlign w:val="center"/>
          </w:tcPr>
          <w:p w14:paraId="5615F967" w14:textId="77777777" w:rsidR="0087495C" w:rsidRPr="00D8620E" w:rsidRDefault="0087495C" w:rsidP="0087495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11.121,66 </w:t>
            </w:r>
          </w:p>
        </w:tc>
        <w:tc>
          <w:tcPr>
            <w:tcW w:w="1709" w:type="dxa"/>
            <w:shd w:val="clear" w:color="auto" w:fill="auto"/>
            <w:vAlign w:val="center"/>
          </w:tcPr>
          <w:p w14:paraId="240DC17A" w14:textId="77777777" w:rsidR="0087495C" w:rsidRPr="00D8620E" w:rsidRDefault="0087495C" w:rsidP="0087495C">
            <w:pPr>
              <w:spacing w:after="0" w:line="240" w:lineRule="auto"/>
              <w:jc w:val="right"/>
              <w:rPr>
                <w:rFonts w:ascii="Times New Roman" w:eastAsia="Times New Roman" w:hAnsi="Times New Roman"/>
                <w:color w:val="000000"/>
                <w:sz w:val="24"/>
                <w:szCs w:val="24"/>
              </w:rPr>
            </w:pPr>
          </w:p>
        </w:tc>
      </w:tr>
      <w:tr w:rsidR="0087495C" w:rsidRPr="00D8620E" w14:paraId="53420AC7" w14:textId="77777777" w:rsidTr="0087495C">
        <w:trPr>
          <w:trHeight w:val="645"/>
        </w:trPr>
        <w:tc>
          <w:tcPr>
            <w:tcW w:w="4221" w:type="dxa"/>
            <w:shd w:val="clear" w:color="auto" w:fill="auto"/>
            <w:vAlign w:val="center"/>
            <w:hideMark/>
          </w:tcPr>
          <w:p w14:paraId="06428167" w14:textId="77777777" w:rsidR="0087495C" w:rsidRPr="00D8620E" w:rsidRDefault="0087495C" w:rsidP="0087495C">
            <w:pPr>
              <w:spacing w:before="120" w:after="12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thấp</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nhất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trong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năm</w:t>
            </w:r>
            <w:proofErr w:type="spellEnd"/>
            <w:r w:rsidRPr="00D8620E">
              <w:rPr>
                <w:rFonts w:ascii="Times New Roman" w:eastAsia="Times New Roman" w:hAnsi="Times New Roman"/>
                <w:color w:val="000000"/>
                <w:sz w:val="24"/>
                <w:szCs w:val="24"/>
              </w:rPr>
              <w:t xml:space="preserve"> (VN</w:t>
            </w:r>
            <w:r>
              <w:rPr>
                <w:rFonts w:ascii="Times New Roman" w:eastAsia="Times New Roman" w:hAnsi="Times New Roman"/>
                <w:color w:val="000000"/>
                <w:sz w:val="24"/>
                <w:szCs w:val="24"/>
              </w:rPr>
              <w:t>D</w:t>
            </w:r>
            <w:r w:rsidRPr="00D8620E">
              <w:rPr>
                <w:rFonts w:ascii="Times New Roman" w:eastAsia="Times New Roman" w:hAnsi="Times New Roman"/>
                <w:color w:val="000000"/>
                <w:sz w:val="24"/>
                <w:szCs w:val="24"/>
              </w:rPr>
              <w:t>/CCQ)</w:t>
            </w:r>
          </w:p>
        </w:tc>
        <w:tc>
          <w:tcPr>
            <w:tcW w:w="1984" w:type="dxa"/>
            <w:shd w:val="clear" w:color="auto" w:fill="auto"/>
            <w:vAlign w:val="center"/>
          </w:tcPr>
          <w:p w14:paraId="406B02BE" w14:textId="5A7D26F2" w:rsidR="0087495C" w:rsidRPr="00D8620E" w:rsidRDefault="0087495C" w:rsidP="0087495C">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w:t>
            </w:r>
            <w:r w:rsidRPr="0087495C">
              <w:rPr>
                <w:rFonts w:ascii="Times New Roman" w:eastAsia="Times New Roman" w:hAnsi="Times New Roman"/>
                <w:color w:val="000000"/>
                <w:sz w:val="24"/>
                <w:szCs w:val="24"/>
              </w:rPr>
              <w:t xml:space="preserve"> 7,497.48</w:t>
            </w:r>
          </w:p>
        </w:tc>
        <w:tc>
          <w:tcPr>
            <w:tcW w:w="1716" w:type="dxa"/>
            <w:shd w:val="clear" w:color="auto" w:fill="auto"/>
            <w:vAlign w:val="center"/>
          </w:tcPr>
          <w:p w14:paraId="645500F2" w14:textId="77777777" w:rsidR="0087495C" w:rsidRPr="00D8620E" w:rsidRDefault="0087495C" w:rsidP="0087495C">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9.991,19 </w:t>
            </w:r>
          </w:p>
        </w:tc>
        <w:tc>
          <w:tcPr>
            <w:tcW w:w="1709" w:type="dxa"/>
            <w:shd w:val="clear" w:color="auto" w:fill="auto"/>
            <w:vAlign w:val="center"/>
          </w:tcPr>
          <w:p w14:paraId="2C124085" w14:textId="77777777" w:rsidR="0087495C" w:rsidRPr="00D8620E" w:rsidRDefault="0087495C" w:rsidP="0087495C">
            <w:pPr>
              <w:spacing w:before="120" w:after="120" w:line="240" w:lineRule="auto"/>
              <w:jc w:val="right"/>
              <w:rPr>
                <w:rFonts w:ascii="Times New Roman" w:eastAsia="Times New Roman" w:hAnsi="Times New Roman"/>
                <w:color w:val="000000"/>
                <w:sz w:val="24"/>
                <w:szCs w:val="24"/>
              </w:rPr>
            </w:pPr>
          </w:p>
        </w:tc>
      </w:tr>
    </w:tbl>
    <w:p w14:paraId="27A453AE" w14:textId="77777777" w:rsidR="00903EF1" w:rsidRPr="00953F4D" w:rsidRDefault="00CE15F6" w:rsidP="00D8620E">
      <w:pPr>
        <w:pStyle w:val="ListParagraph"/>
        <w:numPr>
          <w:ilvl w:val="0"/>
          <w:numId w:val="23"/>
        </w:numPr>
        <w:tabs>
          <w:tab w:val="left" w:pos="270"/>
          <w:tab w:val="left" w:pos="1134"/>
        </w:tabs>
        <w:spacing w:before="120" w:after="120" w:line="300" w:lineRule="auto"/>
        <w:jc w:val="both"/>
        <w:rPr>
          <w:rFonts w:ascii="Times New Roman" w:hAnsi="Times New Roman"/>
          <w:sz w:val="24"/>
          <w:szCs w:val="24"/>
        </w:rPr>
      </w:pPr>
      <w:proofErr w:type="spellStart"/>
      <w:r w:rsidRPr="00953F4D">
        <w:rPr>
          <w:rFonts w:ascii="Times New Roman" w:hAnsi="Times New Roman"/>
          <w:sz w:val="24"/>
          <w:szCs w:val="24"/>
        </w:rPr>
        <w:t>Tổng</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lợi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nhuận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quỹ</w:t>
      </w:r>
      <w:proofErr w:type="spellEnd"/>
      <w:r w:rsidR="009B55A4" w:rsidRPr="00953F4D">
        <w:rPr>
          <w:rFonts w:ascii="Times New Roman" w:hAnsi="Times New Roman"/>
          <w:sz w:val="24"/>
          <w:szCs w:val="24"/>
        </w:rPr>
        <w:t>:</w:t>
      </w:r>
      <w:r w:rsidRPr="00953F4D">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57"/>
        <w:gridCol w:w="1728"/>
        <w:gridCol w:w="1701"/>
      </w:tblGrid>
      <w:tr w:rsidR="0035694B" w:rsidRPr="00D8620E" w14:paraId="648499A1" w14:textId="77777777" w:rsidTr="00D8620E">
        <w:trPr>
          <w:trHeight w:val="315"/>
        </w:trPr>
        <w:tc>
          <w:tcPr>
            <w:tcW w:w="4253" w:type="dxa"/>
            <w:shd w:val="clear" w:color="auto" w:fill="8DB3E2" w:themeFill="text2" w:themeFillTint="66"/>
            <w:vAlign w:val="center"/>
          </w:tcPr>
          <w:p w14:paraId="662AF674" w14:textId="77777777" w:rsidR="0035694B" w:rsidRPr="00D8620E" w:rsidRDefault="0035694B" w:rsidP="0035694B">
            <w:pPr>
              <w:spacing w:before="120" w:after="12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Chỉ</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tiêu</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Đơn</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Vị</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tính</w:t>
            </w:r>
            <w:proofErr w:type="spellEnd"/>
            <w:r w:rsidRPr="00D8620E">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VND</w:t>
            </w:r>
            <w:r w:rsidRPr="00D8620E">
              <w:rPr>
                <w:rFonts w:ascii="Times New Roman" w:eastAsia="Times New Roman" w:hAnsi="Times New Roman"/>
                <w:b/>
                <w:bCs/>
                <w:color w:val="000000"/>
                <w:sz w:val="24"/>
                <w:szCs w:val="24"/>
              </w:rPr>
              <w:t>)</w:t>
            </w:r>
          </w:p>
        </w:tc>
        <w:tc>
          <w:tcPr>
            <w:tcW w:w="1957" w:type="dxa"/>
            <w:shd w:val="clear" w:color="auto" w:fill="8DB3E2" w:themeFill="text2" w:themeFillTint="66"/>
            <w:vAlign w:val="center"/>
          </w:tcPr>
          <w:p w14:paraId="193D9B7B" w14:textId="77777777" w:rsidR="0035694B" w:rsidRPr="00D8620E" w:rsidRDefault="0035694B" w:rsidP="0035694B">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b/>
                <w:bCs/>
                <w:color w:val="000000"/>
                <w:sz w:val="24"/>
                <w:szCs w:val="24"/>
              </w:rPr>
              <w:t>31/12/20</w:t>
            </w:r>
            <w:r>
              <w:rPr>
                <w:rFonts w:ascii="Times New Roman" w:eastAsia="Times New Roman" w:hAnsi="Times New Roman"/>
                <w:b/>
                <w:bCs/>
                <w:color w:val="000000"/>
                <w:sz w:val="24"/>
                <w:szCs w:val="24"/>
              </w:rPr>
              <w:t>20</w:t>
            </w:r>
          </w:p>
        </w:tc>
        <w:tc>
          <w:tcPr>
            <w:tcW w:w="1728" w:type="dxa"/>
            <w:shd w:val="clear" w:color="auto" w:fill="8DB3E2" w:themeFill="text2" w:themeFillTint="66"/>
            <w:vAlign w:val="center"/>
          </w:tcPr>
          <w:p w14:paraId="6B828144" w14:textId="77777777" w:rsidR="0035694B" w:rsidRPr="00D8620E" w:rsidRDefault="0035694B" w:rsidP="0035694B">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b/>
                <w:bCs/>
                <w:color w:val="000000"/>
                <w:sz w:val="24"/>
                <w:szCs w:val="24"/>
              </w:rPr>
              <w:t>31/12/2019</w:t>
            </w:r>
          </w:p>
        </w:tc>
        <w:tc>
          <w:tcPr>
            <w:tcW w:w="1701" w:type="dxa"/>
            <w:shd w:val="clear" w:color="auto" w:fill="8DB3E2" w:themeFill="text2" w:themeFillTint="66"/>
            <w:vAlign w:val="center"/>
          </w:tcPr>
          <w:p w14:paraId="08A607C4" w14:textId="77777777" w:rsidR="0035694B" w:rsidRPr="00D8620E" w:rsidRDefault="0035694B" w:rsidP="0035694B">
            <w:pPr>
              <w:spacing w:before="120" w:after="120" w:line="240" w:lineRule="auto"/>
              <w:jc w:val="right"/>
              <w:rPr>
                <w:rFonts w:ascii="Times New Roman" w:eastAsia="Times New Roman" w:hAnsi="Times New Roman"/>
                <w:color w:val="000000"/>
                <w:sz w:val="24"/>
                <w:szCs w:val="24"/>
              </w:rPr>
            </w:pPr>
            <w:r w:rsidRPr="00D8620E">
              <w:rPr>
                <w:rFonts w:ascii="Times New Roman" w:eastAsia="Times New Roman" w:hAnsi="Times New Roman"/>
                <w:b/>
                <w:bCs/>
                <w:color w:val="000000"/>
                <w:sz w:val="24"/>
                <w:szCs w:val="24"/>
              </w:rPr>
              <w:t>31/12/2018 (*)</w:t>
            </w:r>
          </w:p>
        </w:tc>
      </w:tr>
      <w:tr w:rsidR="00F563AC" w:rsidRPr="00D8620E" w14:paraId="64A559E2" w14:textId="77777777" w:rsidTr="0035694B">
        <w:trPr>
          <w:trHeight w:val="315"/>
        </w:trPr>
        <w:tc>
          <w:tcPr>
            <w:tcW w:w="4253" w:type="dxa"/>
            <w:shd w:val="clear" w:color="auto" w:fill="auto"/>
            <w:vAlign w:val="center"/>
            <w:hideMark/>
          </w:tcPr>
          <w:p w14:paraId="4E06B4DE" w14:textId="77777777" w:rsidR="00F563AC" w:rsidRPr="00D8620E" w:rsidRDefault="00F563AC" w:rsidP="00F563AC">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thu</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nhập</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p>
        </w:tc>
        <w:tc>
          <w:tcPr>
            <w:tcW w:w="1957" w:type="dxa"/>
            <w:shd w:val="clear" w:color="auto" w:fill="auto"/>
            <w:vAlign w:val="center"/>
          </w:tcPr>
          <w:p w14:paraId="72557A64" w14:textId="0D5D44B4" w:rsidR="00F563AC" w:rsidRPr="00953F4D" w:rsidRDefault="00F563AC" w:rsidP="00F563AC">
            <w:pPr>
              <w:spacing w:after="0" w:line="240" w:lineRule="auto"/>
              <w:jc w:val="right"/>
              <w:rPr>
                <w:rFonts w:ascii="Times New Roman" w:eastAsia="Times New Roman" w:hAnsi="Times New Roman"/>
                <w:b/>
                <w:bCs/>
                <w:color w:val="000000"/>
                <w:sz w:val="24"/>
                <w:szCs w:val="24"/>
              </w:rPr>
            </w:pPr>
            <w:r w:rsidRPr="00953F4D">
              <w:rPr>
                <w:rFonts w:ascii="Times New Roman" w:eastAsia="Times New Roman" w:hAnsi="Times New Roman"/>
                <w:b/>
                <w:bCs/>
                <w:color w:val="000000"/>
                <w:sz w:val="24"/>
                <w:szCs w:val="24"/>
              </w:rPr>
              <w:t>20,796,822,396</w:t>
            </w:r>
          </w:p>
        </w:tc>
        <w:tc>
          <w:tcPr>
            <w:tcW w:w="1728" w:type="dxa"/>
            <w:shd w:val="clear" w:color="auto" w:fill="auto"/>
            <w:vAlign w:val="center"/>
            <w:hideMark/>
          </w:tcPr>
          <w:p w14:paraId="5445550C" w14:textId="0978939E" w:rsidR="00F563AC" w:rsidRPr="00953F4D" w:rsidRDefault="00F563AC" w:rsidP="00F563AC">
            <w:pPr>
              <w:spacing w:after="0" w:line="240" w:lineRule="auto"/>
              <w:jc w:val="right"/>
              <w:rPr>
                <w:rFonts w:ascii="Times New Roman" w:eastAsia="Times New Roman" w:hAnsi="Times New Roman"/>
                <w:b/>
                <w:bCs/>
                <w:color w:val="000000"/>
                <w:sz w:val="24"/>
                <w:szCs w:val="24"/>
              </w:rPr>
            </w:pPr>
            <w:r w:rsidRPr="00953F4D">
              <w:rPr>
                <w:rFonts w:ascii="Times New Roman" w:eastAsia="Times New Roman" w:hAnsi="Times New Roman"/>
                <w:b/>
                <w:bCs/>
                <w:color w:val="000000"/>
                <w:sz w:val="24"/>
                <w:szCs w:val="24"/>
              </w:rPr>
              <w:t xml:space="preserve">  6.022.530.924 </w:t>
            </w:r>
          </w:p>
        </w:tc>
        <w:tc>
          <w:tcPr>
            <w:tcW w:w="1701" w:type="dxa"/>
            <w:shd w:val="clear" w:color="auto" w:fill="auto"/>
            <w:vAlign w:val="center"/>
            <w:hideMark/>
          </w:tcPr>
          <w:p w14:paraId="02DC9DFB" w14:textId="77777777" w:rsidR="00F563AC" w:rsidRPr="00953F4D" w:rsidRDefault="00F563AC" w:rsidP="00F563AC">
            <w:pPr>
              <w:spacing w:after="0" w:line="240" w:lineRule="auto"/>
              <w:jc w:val="right"/>
              <w:rPr>
                <w:rFonts w:ascii="Times New Roman" w:eastAsia="Times New Roman" w:hAnsi="Times New Roman"/>
                <w:b/>
                <w:bCs/>
                <w:color w:val="000000"/>
                <w:sz w:val="24"/>
                <w:szCs w:val="24"/>
              </w:rPr>
            </w:pPr>
            <w:r w:rsidRPr="00953F4D">
              <w:rPr>
                <w:rFonts w:ascii="Times New Roman" w:eastAsia="Times New Roman" w:hAnsi="Times New Roman"/>
                <w:b/>
                <w:bCs/>
                <w:color w:val="000000"/>
                <w:sz w:val="24"/>
                <w:szCs w:val="24"/>
              </w:rPr>
              <w:t> </w:t>
            </w:r>
          </w:p>
        </w:tc>
      </w:tr>
      <w:tr w:rsidR="00F563AC" w:rsidRPr="00D8620E" w14:paraId="1FE2C92D" w14:textId="77777777" w:rsidTr="0035694B">
        <w:trPr>
          <w:trHeight w:val="315"/>
        </w:trPr>
        <w:tc>
          <w:tcPr>
            <w:tcW w:w="4253" w:type="dxa"/>
            <w:shd w:val="clear" w:color="auto" w:fill="auto"/>
            <w:vAlign w:val="center"/>
            <w:hideMark/>
          </w:tcPr>
          <w:p w14:paraId="367619AF" w14:textId="77777777" w:rsidR="00F563AC" w:rsidRPr="00D8620E" w:rsidRDefault="00F563AC" w:rsidP="00F563AC">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Cổ</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tức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được</w:t>
            </w:r>
            <w:proofErr w:type="spellEnd"/>
            <w:r w:rsidRPr="00D8620E">
              <w:rPr>
                <w:rFonts w:ascii="Times New Roman" w:eastAsia="Times New Roman" w:hAnsi="Times New Roman"/>
                <w:i/>
                <w:iCs/>
                <w:color w:val="000000"/>
                <w:sz w:val="24"/>
                <w:szCs w:val="24"/>
              </w:rPr>
              <w:t xml:space="preserve"> chia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r w:rsidRPr="00D8620E">
              <w:rPr>
                <w:rFonts w:ascii="Times New Roman" w:eastAsia="Times New Roman" w:hAnsi="Times New Roman"/>
                <w:i/>
                <w:iCs/>
                <w:color w:val="000000"/>
                <w:sz w:val="24"/>
                <w:szCs w:val="24"/>
              </w:rPr>
              <w:t xml:space="preserve"> </w:t>
            </w:r>
          </w:p>
        </w:tc>
        <w:tc>
          <w:tcPr>
            <w:tcW w:w="1957" w:type="dxa"/>
            <w:shd w:val="clear" w:color="auto" w:fill="auto"/>
            <w:vAlign w:val="center"/>
          </w:tcPr>
          <w:p w14:paraId="6BC40C3D" w14:textId="70C867EA" w:rsidR="00F563AC" w:rsidRPr="00D8620E" w:rsidRDefault="00F563AC" w:rsidP="00F563AC">
            <w:pPr>
              <w:spacing w:after="0" w:line="240" w:lineRule="auto"/>
              <w:jc w:val="right"/>
              <w:rPr>
                <w:rFonts w:ascii="Times New Roman" w:eastAsia="Times New Roman" w:hAnsi="Times New Roman"/>
                <w:color w:val="000000"/>
                <w:sz w:val="24"/>
                <w:szCs w:val="24"/>
              </w:rPr>
            </w:pPr>
            <w:r w:rsidRPr="00F563AC">
              <w:rPr>
                <w:rFonts w:ascii="Times New Roman" w:eastAsia="Times New Roman" w:hAnsi="Times New Roman"/>
                <w:color w:val="000000"/>
                <w:sz w:val="24"/>
                <w:szCs w:val="24"/>
              </w:rPr>
              <w:t>1,782,246,298</w:t>
            </w:r>
          </w:p>
        </w:tc>
        <w:tc>
          <w:tcPr>
            <w:tcW w:w="1728" w:type="dxa"/>
            <w:shd w:val="clear" w:color="auto" w:fill="auto"/>
            <w:vAlign w:val="center"/>
            <w:hideMark/>
          </w:tcPr>
          <w:p w14:paraId="5B166CCE" w14:textId="68649AB6"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1.619.714.574 </w:t>
            </w:r>
          </w:p>
        </w:tc>
        <w:tc>
          <w:tcPr>
            <w:tcW w:w="1701" w:type="dxa"/>
            <w:shd w:val="clear" w:color="auto" w:fill="auto"/>
            <w:vAlign w:val="center"/>
            <w:hideMark/>
          </w:tcPr>
          <w:p w14:paraId="0659035D" w14:textId="77777777"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F563AC" w:rsidRPr="00D8620E" w14:paraId="47139B6A" w14:textId="77777777" w:rsidTr="0035694B">
        <w:trPr>
          <w:trHeight w:val="315"/>
        </w:trPr>
        <w:tc>
          <w:tcPr>
            <w:tcW w:w="4253" w:type="dxa"/>
            <w:shd w:val="clear" w:color="auto" w:fill="auto"/>
            <w:vAlign w:val="center"/>
            <w:hideMark/>
          </w:tcPr>
          <w:p w14:paraId="5A4C7446" w14:textId="77777777" w:rsidR="00F563AC" w:rsidRPr="00D8620E" w:rsidRDefault="00F563AC" w:rsidP="00F563AC">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Tiền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lãi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được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nhận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r w:rsidRPr="00D8620E">
              <w:rPr>
                <w:rFonts w:ascii="Times New Roman" w:eastAsia="Times New Roman" w:hAnsi="Times New Roman"/>
                <w:i/>
                <w:iCs/>
                <w:color w:val="000000"/>
                <w:sz w:val="24"/>
                <w:szCs w:val="24"/>
              </w:rPr>
              <w:t xml:space="preserve"> </w:t>
            </w:r>
          </w:p>
        </w:tc>
        <w:tc>
          <w:tcPr>
            <w:tcW w:w="1957" w:type="dxa"/>
            <w:shd w:val="clear" w:color="auto" w:fill="auto"/>
            <w:vAlign w:val="center"/>
          </w:tcPr>
          <w:p w14:paraId="421592B9" w14:textId="5C56FF3C" w:rsidR="00F563AC" w:rsidRPr="00D8620E" w:rsidRDefault="00F563AC" w:rsidP="00F563AC">
            <w:pPr>
              <w:spacing w:after="0" w:line="240" w:lineRule="auto"/>
              <w:jc w:val="right"/>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w:t>
            </w:r>
          </w:p>
        </w:tc>
        <w:tc>
          <w:tcPr>
            <w:tcW w:w="1728" w:type="dxa"/>
            <w:shd w:val="clear" w:color="auto" w:fill="auto"/>
            <w:vAlign w:val="center"/>
            <w:hideMark/>
          </w:tcPr>
          <w:p w14:paraId="50AA8F42" w14:textId="01B4A8CB" w:rsidR="00F563AC" w:rsidRPr="00D8620E" w:rsidRDefault="00F563AC" w:rsidP="00F563AC">
            <w:pPr>
              <w:spacing w:after="0" w:line="240" w:lineRule="auto"/>
              <w:jc w:val="right"/>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   </w:t>
            </w:r>
          </w:p>
        </w:tc>
        <w:tc>
          <w:tcPr>
            <w:tcW w:w="1701" w:type="dxa"/>
            <w:shd w:val="clear" w:color="auto" w:fill="auto"/>
            <w:vAlign w:val="center"/>
            <w:hideMark/>
          </w:tcPr>
          <w:p w14:paraId="3A46BED4" w14:textId="77777777" w:rsidR="00F563AC" w:rsidRPr="00D8620E" w:rsidRDefault="00F563AC" w:rsidP="00F563AC">
            <w:pPr>
              <w:spacing w:after="0" w:line="240" w:lineRule="auto"/>
              <w:jc w:val="right"/>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w:t>
            </w:r>
          </w:p>
        </w:tc>
      </w:tr>
      <w:tr w:rsidR="00F563AC" w:rsidRPr="00D8620E" w14:paraId="1D21798B" w14:textId="77777777" w:rsidTr="0035694B">
        <w:trPr>
          <w:trHeight w:val="315"/>
        </w:trPr>
        <w:tc>
          <w:tcPr>
            <w:tcW w:w="4253" w:type="dxa"/>
            <w:shd w:val="clear" w:color="auto" w:fill="auto"/>
            <w:vAlign w:val="center"/>
            <w:hideMark/>
          </w:tcPr>
          <w:p w14:paraId="563E0786" w14:textId="77777777" w:rsidR="00F563AC" w:rsidRPr="00D8620E" w:rsidRDefault="00F563AC" w:rsidP="00F563AC">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thu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nhập</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p>
        </w:tc>
        <w:tc>
          <w:tcPr>
            <w:tcW w:w="1957" w:type="dxa"/>
            <w:shd w:val="clear" w:color="auto" w:fill="auto"/>
            <w:vAlign w:val="center"/>
          </w:tcPr>
          <w:p w14:paraId="24B38D9A" w14:textId="34639D6A" w:rsidR="00F563AC" w:rsidRPr="00D8620E" w:rsidRDefault="00F563AC" w:rsidP="00F563AC">
            <w:pPr>
              <w:spacing w:after="0" w:line="240" w:lineRule="auto"/>
              <w:jc w:val="right"/>
              <w:rPr>
                <w:rFonts w:ascii="Times New Roman" w:eastAsia="Times New Roman" w:hAnsi="Times New Roman"/>
                <w:color w:val="000000"/>
                <w:sz w:val="24"/>
                <w:szCs w:val="24"/>
              </w:rPr>
            </w:pPr>
            <w:r w:rsidRPr="00F563AC">
              <w:rPr>
                <w:rFonts w:ascii="Times New Roman" w:eastAsia="Times New Roman" w:hAnsi="Times New Roman"/>
                <w:color w:val="000000"/>
                <w:sz w:val="24"/>
                <w:szCs w:val="24"/>
              </w:rPr>
              <w:t>11,873,748</w:t>
            </w:r>
          </w:p>
        </w:tc>
        <w:tc>
          <w:tcPr>
            <w:tcW w:w="1728" w:type="dxa"/>
            <w:shd w:val="clear" w:color="auto" w:fill="auto"/>
            <w:vAlign w:val="center"/>
            <w:hideMark/>
          </w:tcPr>
          <w:p w14:paraId="174C1255" w14:textId="396BEEB1"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41.607.350 </w:t>
            </w:r>
          </w:p>
        </w:tc>
        <w:tc>
          <w:tcPr>
            <w:tcW w:w="1701" w:type="dxa"/>
            <w:shd w:val="clear" w:color="auto" w:fill="auto"/>
            <w:vAlign w:val="center"/>
            <w:hideMark/>
          </w:tcPr>
          <w:p w14:paraId="5C6801FF" w14:textId="77777777"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F563AC" w:rsidRPr="00D8620E" w14:paraId="4CEFFAE3" w14:textId="77777777" w:rsidTr="0035694B">
        <w:trPr>
          <w:trHeight w:val="315"/>
        </w:trPr>
        <w:tc>
          <w:tcPr>
            <w:tcW w:w="4253" w:type="dxa"/>
            <w:shd w:val="clear" w:color="auto" w:fill="auto"/>
            <w:vAlign w:val="center"/>
            <w:hideMark/>
          </w:tcPr>
          <w:p w14:paraId="28407E2C" w14:textId="46BA931D" w:rsidR="00F563AC" w:rsidRPr="00D8620E" w:rsidRDefault="00F563AC" w:rsidP="00F563AC">
            <w:pPr>
              <w:spacing w:after="0" w:line="240" w:lineRule="auto"/>
              <w:ind w:firstLineChars="72" w:firstLine="173"/>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i/>
                <w:iCs/>
                <w:color w:val="000000"/>
                <w:sz w:val="24"/>
                <w:szCs w:val="24"/>
              </w:rPr>
              <w:t>Lãi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bán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đầu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tư</w:t>
            </w:r>
            <w:proofErr w:type="spellEnd"/>
          </w:p>
        </w:tc>
        <w:tc>
          <w:tcPr>
            <w:tcW w:w="1957" w:type="dxa"/>
            <w:shd w:val="clear" w:color="auto" w:fill="auto"/>
            <w:vAlign w:val="center"/>
          </w:tcPr>
          <w:p w14:paraId="4D352C0F" w14:textId="3A2510D6" w:rsidR="00F563AC" w:rsidRPr="00D8620E" w:rsidRDefault="00F563AC" w:rsidP="00F563AC">
            <w:pPr>
              <w:spacing w:after="0" w:line="240" w:lineRule="auto"/>
              <w:jc w:val="right"/>
              <w:rPr>
                <w:rFonts w:ascii="Times New Roman" w:eastAsia="Times New Roman" w:hAnsi="Times New Roman"/>
                <w:color w:val="000000"/>
                <w:sz w:val="24"/>
                <w:szCs w:val="24"/>
              </w:rPr>
            </w:pPr>
            <w:r w:rsidRPr="00F563AC">
              <w:rPr>
                <w:rFonts w:ascii="Times New Roman" w:eastAsia="Times New Roman" w:hAnsi="Times New Roman"/>
                <w:color w:val="000000"/>
                <w:sz w:val="24"/>
                <w:szCs w:val="24"/>
              </w:rPr>
              <w:t>1,273,740,445</w:t>
            </w:r>
          </w:p>
        </w:tc>
        <w:tc>
          <w:tcPr>
            <w:tcW w:w="1728" w:type="dxa"/>
            <w:shd w:val="clear" w:color="auto" w:fill="auto"/>
            <w:vAlign w:val="center"/>
            <w:hideMark/>
          </w:tcPr>
          <w:p w14:paraId="0BE81FA2" w14:textId="5FD03E2C"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554.906.734 </w:t>
            </w:r>
          </w:p>
        </w:tc>
        <w:tc>
          <w:tcPr>
            <w:tcW w:w="1701" w:type="dxa"/>
            <w:shd w:val="clear" w:color="auto" w:fill="auto"/>
            <w:vAlign w:val="center"/>
            <w:hideMark/>
          </w:tcPr>
          <w:p w14:paraId="631237B5" w14:textId="77777777"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F563AC" w:rsidRPr="00D8620E" w14:paraId="67FEF9DD" w14:textId="77777777" w:rsidTr="00953F4D">
        <w:trPr>
          <w:trHeight w:val="620"/>
        </w:trPr>
        <w:tc>
          <w:tcPr>
            <w:tcW w:w="4253" w:type="dxa"/>
            <w:shd w:val="clear" w:color="auto" w:fill="auto"/>
            <w:vAlign w:val="center"/>
            <w:hideMark/>
          </w:tcPr>
          <w:p w14:paraId="2D78B207" w14:textId="011196D5" w:rsidR="00F563AC" w:rsidRPr="00D8620E" w:rsidRDefault="00F563AC" w:rsidP="00F563AC">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Chênh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lệch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tăng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đánh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giá</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lại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đầu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tư</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chưa</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thực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hiện</w:t>
            </w:r>
            <w:proofErr w:type="spellEnd"/>
          </w:p>
        </w:tc>
        <w:tc>
          <w:tcPr>
            <w:tcW w:w="1957" w:type="dxa"/>
            <w:shd w:val="clear" w:color="auto" w:fill="auto"/>
            <w:vAlign w:val="center"/>
          </w:tcPr>
          <w:p w14:paraId="0A528F09" w14:textId="0D57F3EA" w:rsidR="00F563AC" w:rsidRPr="00D8620E" w:rsidRDefault="00F563AC" w:rsidP="00F563AC">
            <w:pPr>
              <w:spacing w:after="0" w:line="240" w:lineRule="auto"/>
              <w:jc w:val="right"/>
              <w:rPr>
                <w:rFonts w:ascii="Times New Roman" w:eastAsia="Times New Roman" w:hAnsi="Times New Roman"/>
                <w:color w:val="000000"/>
                <w:sz w:val="24"/>
                <w:szCs w:val="24"/>
              </w:rPr>
            </w:pPr>
            <w:r w:rsidRPr="00F563AC">
              <w:rPr>
                <w:rFonts w:ascii="Times New Roman" w:eastAsia="Times New Roman" w:hAnsi="Times New Roman"/>
                <w:color w:val="000000"/>
                <w:sz w:val="24"/>
                <w:szCs w:val="24"/>
              </w:rPr>
              <w:t>17,728,961,905</w:t>
            </w:r>
          </w:p>
        </w:tc>
        <w:tc>
          <w:tcPr>
            <w:tcW w:w="1728" w:type="dxa"/>
            <w:shd w:val="clear" w:color="auto" w:fill="auto"/>
            <w:vAlign w:val="center"/>
            <w:hideMark/>
          </w:tcPr>
          <w:p w14:paraId="1C46139B" w14:textId="3F1FAD3B"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3.806.302.266 </w:t>
            </w:r>
          </w:p>
        </w:tc>
        <w:tc>
          <w:tcPr>
            <w:tcW w:w="1701" w:type="dxa"/>
            <w:shd w:val="clear" w:color="auto" w:fill="auto"/>
            <w:vAlign w:val="center"/>
            <w:hideMark/>
          </w:tcPr>
          <w:p w14:paraId="476AD1C9" w14:textId="77777777"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F563AC" w:rsidRPr="00D8620E" w14:paraId="6F56F990" w14:textId="77777777" w:rsidTr="0035694B">
        <w:trPr>
          <w:trHeight w:val="315"/>
        </w:trPr>
        <w:tc>
          <w:tcPr>
            <w:tcW w:w="4253" w:type="dxa"/>
            <w:shd w:val="clear" w:color="auto" w:fill="auto"/>
            <w:vAlign w:val="center"/>
            <w:hideMark/>
          </w:tcPr>
          <w:p w14:paraId="3BC47810" w14:textId="77777777" w:rsidR="00F563AC" w:rsidRPr="00D8620E" w:rsidRDefault="00F563AC" w:rsidP="00F563AC">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chi </w:t>
            </w:r>
            <w:proofErr w:type="spellStart"/>
            <w:r w:rsidRPr="00D8620E">
              <w:rPr>
                <w:rFonts w:ascii="Times New Roman" w:eastAsia="Times New Roman" w:hAnsi="Times New Roman"/>
                <w:b/>
                <w:bCs/>
                <w:color w:val="000000"/>
                <w:sz w:val="24"/>
                <w:szCs w:val="24"/>
              </w:rPr>
              <w:t>phí</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p>
        </w:tc>
        <w:tc>
          <w:tcPr>
            <w:tcW w:w="1957" w:type="dxa"/>
            <w:shd w:val="clear" w:color="auto" w:fill="auto"/>
            <w:vAlign w:val="center"/>
          </w:tcPr>
          <w:p w14:paraId="7B3EE369" w14:textId="0FC00DB4" w:rsidR="00F563AC" w:rsidRPr="00953F4D" w:rsidRDefault="00F563AC" w:rsidP="00F563AC">
            <w:pPr>
              <w:spacing w:after="0" w:line="240" w:lineRule="auto"/>
              <w:jc w:val="right"/>
              <w:rPr>
                <w:rFonts w:ascii="Times New Roman" w:eastAsia="Times New Roman" w:hAnsi="Times New Roman"/>
                <w:b/>
                <w:bCs/>
                <w:color w:val="000000"/>
                <w:sz w:val="24"/>
                <w:szCs w:val="24"/>
              </w:rPr>
            </w:pPr>
            <w:r w:rsidRPr="00953F4D">
              <w:rPr>
                <w:rFonts w:ascii="Times New Roman" w:eastAsia="Times New Roman" w:hAnsi="Times New Roman"/>
                <w:b/>
                <w:bCs/>
                <w:color w:val="000000"/>
                <w:sz w:val="24"/>
                <w:szCs w:val="24"/>
              </w:rPr>
              <w:t>2,670,001,142</w:t>
            </w:r>
          </w:p>
        </w:tc>
        <w:tc>
          <w:tcPr>
            <w:tcW w:w="1728" w:type="dxa"/>
            <w:shd w:val="clear" w:color="auto" w:fill="auto"/>
            <w:vAlign w:val="center"/>
            <w:hideMark/>
          </w:tcPr>
          <w:p w14:paraId="36A73F09" w14:textId="77852D7D" w:rsidR="00F563AC" w:rsidRPr="00953F4D" w:rsidRDefault="00F563AC" w:rsidP="00F563AC">
            <w:pPr>
              <w:spacing w:after="0" w:line="240" w:lineRule="auto"/>
              <w:jc w:val="right"/>
              <w:rPr>
                <w:rFonts w:ascii="Times New Roman" w:eastAsia="Times New Roman" w:hAnsi="Times New Roman"/>
                <w:b/>
                <w:bCs/>
                <w:color w:val="000000"/>
                <w:sz w:val="24"/>
                <w:szCs w:val="24"/>
              </w:rPr>
            </w:pPr>
            <w:r w:rsidRPr="00953F4D">
              <w:rPr>
                <w:rFonts w:ascii="Times New Roman" w:eastAsia="Times New Roman" w:hAnsi="Times New Roman"/>
                <w:b/>
                <w:bCs/>
                <w:color w:val="000000"/>
                <w:sz w:val="24"/>
                <w:szCs w:val="24"/>
              </w:rPr>
              <w:t xml:space="preserve">  2.788.965.720 </w:t>
            </w:r>
          </w:p>
        </w:tc>
        <w:tc>
          <w:tcPr>
            <w:tcW w:w="1701" w:type="dxa"/>
            <w:shd w:val="clear" w:color="auto" w:fill="auto"/>
            <w:vAlign w:val="center"/>
            <w:hideMark/>
          </w:tcPr>
          <w:p w14:paraId="492A1AE7" w14:textId="77777777"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F563AC" w:rsidRPr="00D8620E" w14:paraId="0634C06D" w14:textId="77777777" w:rsidTr="0035694B">
        <w:trPr>
          <w:trHeight w:val="315"/>
        </w:trPr>
        <w:tc>
          <w:tcPr>
            <w:tcW w:w="4253" w:type="dxa"/>
            <w:shd w:val="clear" w:color="auto" w:fill="auto"/>
            <w:vAlign w:val="center"/>
            <w:hideMark/>
          </w:tcPr>
          <w:p w14:paraId="76B10DDC" w14:textId="64A0740A" w:rsidR="00F563AC" w:rsidRPr="00D8620E" w:rsidRDefault="00F563AC" w:rsidP="00F563AC">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lợi</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nhuận</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tại</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ngày</w:t>
            </w:r>
            <w:proofErr w:type="spellEnd"/>
          </w:p>
        </w:tc>
        <w:tc>
          <w:tcPr>
            <w:tcW w:w="1957" w:type="dxa"/>
            <w:shd w:val="clear" w:color="auto" w:fill="auto"/>
            <w:vAlign w:val="center"/>
          </w:tcPr>
          <w:p w14:paraId="016D9734" w14:textId="5451AC97" w:rsidR="00F563AC" w:rsidRPr="00953F4D" w:rsidRDefault="00F563AC" w:rsidP="00F563AC">
            <w:pPr>
              <w:spacing w:after="0" w:line="240" w:lineRule="auto"/>
              <w:jc w:val="right"/>
              <w:rPr>
                <w:rFonts w:ascii="Times New Roman" w:eastAsia="Times New Roman" w:hAnsi="Times New Roman"/>
                <w:b/>
                <w:bCs/>
                <w:color w:val="000000"/>
                <w:sz w:val="24"/>
                <w:szCs w:val="24"/>
              </w:rPr>
            </w:pPr>
            <w:r w:rsidRPr="00953F4D">
              <w:rPr>
                <w:rFonts w:ascii="Times New Roman" w:eastAsia="Times New Roman" w:hAnsi="Times New Roman"/>
                <w:b/>
                <w:bCs/>
                <w:color w:val="000000"/>
                <w:sz w:val="24"/>
                <w:szCs w:val="24"/>
              </w:rPr>
              <w:t>18,126,821,254</w:t>
            </w:r>
          </w:p>
        </w:tc>
        <w:tc>
          <w:tcPr>
            <w:tcW w:w="1728" w:type="dxa"/>
            <w:shd w:val="clear" w:color="auto" w:fill="auto"/>
            <w:vAlign w:val="center"/>
            <w:hideMark/>
          </w:tcPr>
          <w:p w14:paraId="644E571E" w14:textId="77D33C18" w:rsidR="00F563AC" w:rsidRPr="00953F4D" w:rsidRDefault="00F563AC" w:rsidP="00F563AC">
            <w:pPr>
              <w:spacing w:after="0" w:line="240" w:lineRule="auto"/>
              <w:jc w:val="right"/>
              <w:rPr>
                <w:rFonts w:ascii="Times New Roman" w:eastAsia="Times New Roman" w:hAnsi="Times New Roman"/>
                <w:b/>
                <w:bCs/>
                <w:color w:val="000000"/>
                <w:sz w:val="24"/>
                <w:szCs w:val="24"/>
              </w:rPr>
            </w:pPr>
            <w:r w:rsidRPr="00953F4D">
              <w:rPr>
                <w:rFonts w:ascii="Times New Roman" w:eastAsia="Times New Roman" w:hAnsi="Times New Roman"/>
                <w:b/>
                <w:bCs/>
                <w:color w:val="000000"/>
                <w:sz w:val="24"/>
                <w:szCs w:val="24"/>
              </w:rPr>
              <w:t xml:space="preserve">  3.233.565.204 </w:t>
            </w:r>
          </w:p>
        </w:tc>
        <w:tc>
          <w:tcPr>
            <w:tcW w:w="1701" w:type="dxa"/>
            <w:shd w:val="clear" w:color="auto" w:fill="auto"/>
            <w:vAlign w:val="center"/>
            <w:hideMark/>
          </w:tcPr>
          <w:p w14:paraId="2C7100B4" w14:textId="77777777" w:rsidR="00F563AC" w:rsidRPr="00D8620E" w:rsidRDefault="00F563AC" w:rsidP="00F563AC">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bl>
    <w:p w14:paraId="30C6D091" w14:textId="77777777" w:rsidR="00E250EA" w:rsidRPr="00D8620E" w:rsidRDefault="00E250EA" w:rsidP="00E250EA">
      <w:pPr>
        <w:tabs>
          <w:tab w:val="left" w:pos="270"/>
          <w:tab w:val="left" w:pos="1134"/>
        </w:tabs>
        <w:spacing w:after="0" w:line="300" w:lineRule="auto"/>
        <w:jc w:val="both"/>
        <w:rPr>
          <w:rFonts w:ascii="Times New Roman" w:hAnsi="Times New Roman"/>
          <w:sz w:val="24"/>
          <w:szCs w:val="24"/>
        </w:rPr>
      </w:pPr>
    </w:p>
    <w:p w14:paraId="563C22A4" w14:textId="77777777" w:rsidR="00E250EA" w:rsidRPr="00D8620E" w:rsidRDefault="00CE15F6" w:rsidP="00E250EA">
      <w:pPr>
        <w:pStyle w:val="ListParagraph"/>
        <w:numPr>
          <w:ilvl w:val="0"/>
          <w:numId w:val="23"/>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gộp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00AF243A" w:rsidRPr="00D8620E">
        <w:rPr>
          <w:rFonts w:ascii="Times New Roman" w:hAnsi="Times New Roman"/>
          <w:sz w:val="24"/>
          <w:szCs w:val="24"/>
        </w:rPr>
        <w:t>:</w:t>
      </w:r>
      <w:r w:rsidR="00E250EA" w:rsidRPr="00D8620E">
        <w:rPr>
          <w:rFonts w:ascii="Times New Roman" w:hAnsi="Times New Roman"/>
          <w:sz w:val="24"/>
          <w:szCs w:val="24"/>
        </w:rPr>
        <w:t xml:space="preserve"> </w:t>
      </w:r>
      <w:proofErr w:type="spellStart"/>
      <w:r w:rsidR="00570567" w:rsidRPr="00D8620E">
        <w:rPr>
          <w:rFonts w:ascii="Times New Roman" w:hAnsi="Times New Roman"/>
          <w:sz w:val="24"/>
          <w:szCs w:val="24"/>
        </w:rPr>
        <w:t>Quỹ</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không</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thực</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hiện</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phân</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phối</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lợi</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nhuận</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trong</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kỳ</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báo</w:t>
      </w:r>
      <w:proofErr w:type="spellEnd"/>
      <w:r w:rsidR="00570567" w:rsidRPr="00D8620E">
        <w:rPr>
          <w:rFonts w:ascii="Times New Roman" w:hAnsi="Times New Roman"/>
          <w:sz w:val="24"/>
          <w:szCs w:val="24"/>
        </w:rPr>
        <w:t xml:space="preserve"> </w:t>
      </w:r>
      <w:proofErr w:type="spellStart"/>
      <w:r w:rsidR="00570567" w:rsidRPr="00D8620E">
        <w:rPr>
          <w:rFonts w:ascii="Times New Roman" w:hAnsi="Times New Roman"/>
          <w:sz w:val="24"/>
          <w:szCs w:val="24"/>
        </w:rPr>
        <w:t>cáo</w:t>
      </w:r>
      <w:proofErr w:type="spellEnd"/>
    </w:p>
    <w:p w14:paraId="5C09D0DB" w14:textId="77777777" w:rsidR="00CE15F6" w:rsidRPr="00D8620E" w:rsidRDefault="00CE15F6" w:rsidP="00E250EA">
      <w:pPr>
        <w:pStyle w:val="ListParagraph"/>
        <w:numPr>
          <w:ilvl w:val="0"/>
          <w:numId w:val="23"/>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hAnsi="Times New Roman"/>
          <w:sz w:val="24"/>
          <w:szCs w:val="24"/>
        </w:rPr>
        <w:t>Tỷ</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chi </w:t>
      </w:r>
      <w:proofErr w:type="spellStart"/>
      <w:r w:rsidRPr="00D8620E">
        <w:rPr>
          <w:rFonts w:ascii="Times New Roman" w:hAnsi="Times New Roman"/>
          <w:sz w:val="24"/>
          <w:szCs w:val="24"/>
        </w:rPr>
        <w:t>phí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chênh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lệch</w:t>
      </w:r>
      <w:proofErr w:type="spellEnd"/>
      <w:r w:rsidRPr="00D8620E">
        <w:rPr>
          <w:rFonts w:ascii="Times New Roman" w:hAnsi="Times New Roman"/>
          <w:sz w:val="24"/>
          <w:szCs w:val="24"/>
        </w:rPr>
        <w:t xml:space="preserve"> chi </w:t>
      </w:r>
      <w:proofErr w:type="spellStart"/>
      <w:r w:rsidRPr="00D8620E">
        <w:rPr>
          <w:rFonts w:ascii="Times New Roman" w:hAnsi="Times New Roman"/>
          <w:sz w:val="24"/>
          <w:szCs w:val="24"/>
        </w:rPr>
        <w:t>phí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00E250EA" w:rsidRPr="00D8620E">
        <w:rPr>
          <w:rFonts w:ascii="Times New Roman" w:hAnsi="Times New Roman"/>
          <w:sz w:val="24"/>
          <w:szCs w:val="24"/>
        </w:rPr>
        <w:t>:</w:t>
      </w:r>
      <w:r w:rsidR="00BD7CEF" w:rsidRPr="00D8620E">
        <w:rPr>
          <w:rFonts w:ascii="Times New Roman" w:hAnsi="Times New Roman"/>
          <w:sz w:val="24"/>
          <w:szCs w:val="24"/>
        </w:rPr>
        <w:t xml:space="preserve"> </w:t>
      </w:r>
    </w:p>
    <w:p w14:paraId="7F9E553F" w14:textId="2A79513D" w:rsidR="00EE16D8" w:rsidRPr="00D8620E" w:rsidRDefault="00EE16D8" w:rsidP="00E250EA">
      <w:pPr>
        <w:pStyle w:val="ListParagraph"/>
        <w:numPr>
          <w:ilvl w:val="0"/>
          <w:numId w:val="24"/>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eastAsia="Times New Roman" w:hAnsi="Times New Roman"/>
          <w:color w:val="000000"/>
          <w:sz w:val="24"/>
          <w:szCs w:val="24"/>
        </w:rPr>
        <w:lastRenderedPageBreak/>
        <w:t>Tỷ</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lệ</w:t>
      </w:r>
      <w:proofErr w:type="spellEnd"/>
      <w:r w:rsidRPr="00D8620E">
        <w:rPr>
          <w:rFonts w:ascii="Times New Roman" w:eastAsia="Times New Roman" w:hAnsi="Times New Roman"/>
          <w:color w:val="000000"/>
          <w:sz w:val="24"/>
          <w:szCs w:val="24"/>
        </w:rPr>
        <w:t xml:space="preserve"> chi </w:t>
      </w:r>
      <w:proofErr w:type="spellStart"/>
      <w:r w:rsidRPr="00D8620E">
        <w:rPr>
          <w:rFonts w:ascii="Times New Roman" w:eastAsia="Times New Roman" w:hAnsi="Times New Roman"/>
          <w:color w:val="000000"/>
          <w:sz w:val="24"/>
          <w:szCs w:val="24"/>
        </w:rPr>
        <w:t>phí</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hoạt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động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trung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bình</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trong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năm</w:t>
      </w:r>
      <w:proofErr w:type="spellEnd"/>
      <w:r w:rsidRPr="00D8620E">
        <w:rPr>
          <w:rFonts w:ascii="Times New Roman" w:eastAsia="Times New Roman" w:hAnsi="Times New Roman"/>
          <w:color w:val="000000"/>
          <w:sz w:val="24"/>
          <w:szCs w:val="24"/>
        </w:rPr>
        <w:t xml:space="preserve"> 20</w:t>
      </w:r>
      <w:r w:rsidR="0035694B">
        <w:rPr>
          <w:rFonts w:ascii="Times New Roman" w:eastAsia="Times New Roman" w:hAnsi="Times New Roman"/>
          <w:color w:val="000000"/>
          <w:sz w:val="24"/>
          <w:szCs w:val="24"/>
        </w:rPr>
        <w:t>20</w:t>
      </w:r>
      <w:r w:rsidRPr="00953F4D">
        <w:rPr>
          <w:rFonts w:ascii="Times New Roman" w:eastAsia="Times New Roman" w:hAnsi="Times New Roman"/>
          <w:color w:val="000000"/>
          <w:sz w:val="24"/>
          <w:szCs w:val="24"/>
        </w:rPr>
        <w:t>:</w:t>
      </w:r>
      <w:r w:rsidRPr="00953F4D">
        <w:rPr>
          <w:rFonts w:ascii="Times New Roman" w:eastAsiaTheme="minorHAnsi" w:hAnsi="Times New Roman"/>
          <w:color w:val="000000"/>
          <w:sz w:val="24"/>
          <w:szCs w:val="24"/>
        </w:rPr>
        <w:t xml:space="preserve"> 3,4</w:t>
      </w:r>
      <w:r w:rsidR="004C5374" w:rsidRPr="00953F4D">
        <w:rPr>
          <w:rFonts w:ascii="Times New Roman" w:eastAsiaTheme="minorHAnsi" w:hAnsi="Times New Roman"/>
          <w:color w:val="000000"/>
          <w:sz w:val="24"/>
          <w:szCs w:val="24"/>
        </w:rPr>
        <w:t>2</w:t>
      </w:r>
      <w:r w:rsidRPr="00953F4D">
        <w:rPr>
          <w:rFonts w:ascii="Times New Roman" w:eastAsiaTheme="minorHAnsi" w:hAnsi="Times New Roman"/>
          <w:color w:val="000000"/>
          <w:sz w:val="24"/>
          <w:szCs w:val="24"/>
        </w:rPr>
        <w:t>%</w:t>
      </w:r>
    </w:p>
    <w:p w14:paraId="78393D1B" w14:textId="77777777" w:rsidR="0035046B" w:rsidRPr="00D8620E" w:rsidRDefault="00CE15F6" w:rsidP="00E250EA">
      <w:pPr>
        <w:pStyle w:val="ListParagraph"/>
        <w:numPr>
          <w:ilvl w:val="0"/>
          <w:numId w:val="25"/>
        </w:numPr>
        <w:tabs>
          <w:tab w:val="left" w:pos="270"/>
          <w:tab w:val="left" w:pos="1134"/>
        </w:tabs>
        <w:spacing w:after="0" w:line="300" w:lineRule="auto"/>
        <w:jc w:val="both"/>
        <w:rPr>
          <w:rFonts w:ascii="Times New Roman" w:hAnsi="Times New Roman"/>
          <w:sz w:val="24"/>
          <w:szCs w:val="24"/>
          <w:lang w:val="nl-NL"/>
        </w:rPr>
      </w:pPr>
      <w:proofErr w:type="spellStart"/>
      <w:r w:rsidRPr="00D8620E">
        <w:rPr>
          <w:rFonts w:ascii="Times New Roman" w:hAnsi="Times New Roman"/>
          <w:sz w:val="24"/>
          <w:szCs w:val="24"/>
        </w:rPr>
        <w:t>Tốc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vòng</w:t>
      </w:r>
      <w:proofErr w:type="spellEnd"/>
      <w:r w:rsidRPr="00D8620E">
        <w:rPr>
          <w:rFonts w:ascii="Times New Roman" w:hAnsi="Times New Roman"/>
          <w:sz w:val="24"/>
          <w:szCs w:val="24"/>
        </w:rPr>
        <w:t xml:space="preserve"> quay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chênh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vòng</w:t>
      </w:r>
      <w:proofErr w:type="spellEnd"/>
      <w:r w:rsidRPr="00D8620E">
        <w:rPr>
          <w:rFonts w:ascii="Times New Roman" w:hAnsi="Times New Roman"/>
          <w:sz w:val="24"/>
          <w:szCs w:val="24"/>
        </w:rPr>
        <w:t xml:space="preserve"> quay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00E250EA" w:rsidRPr="00D8620E">
        <w:rPr>
          <w:rFonts w:ascii="Times New Roman" w:hAnsi="Times New Roman"/>
          <w:sz w:val="24"/>
          <w:szCs w:val="24"/>
        </w:rPr>
        <w:t>:</w:t>
      </w:r>
      <w:r w:rsidR="00BD7CEF" w:rsidRPr="00D8620E">
        <w:rPr>
          <w:rFonts w:ascii="Times New Roman" w:hAnsi="Times New Roman"/>
          <w:sz w:val="24"/>
          <w:szCs w:val="24"/>
        </w:rPr>
        <w:t xml:space="preserve"> </w:t>
      </w:r>
    </w:p>
    <w:p w14:paraId="46EA3250" w14:textId="0843D5A0" w:rsidR="00EE16D8" w:rsidRPr="00953F4D" w:rsidRDefault="00EE16D8" w:rsidP="00E250EA">
      <w:pPr>
        <w:pStyle w:val="ListParagraph"/>
        <w:numPr>
          <w:ilvl w:val="0"/>
          <w:numId w:val="24"/>
        </w:numPr>
        <w:tabs>
          <w:tab w:val="left" w:pos="270"/>
          <w:tab w:val="left" w:pos="1134"/>
        </w:tabs>
        <w:spacing w:after="0" w:line="300" w:lineRule="auto"/>
        <w:jc w:val="both"/>
        <w:rPr>
          <w:rFonts w:ascii="Times New Roman" w:hAnsi="Times New Roman"/>
          <w:sz w:val="24"/>
          <w:szCs w:val="24"/>
          <w:lang w:val="nl-NL"/>
        </w:rPr>
      </w:pPr>
      <w:proofErr w:type="spellStart"/>
      <w:r w:rsidRPr="00D8620E">
        <w:rPr>
          <w:rFonts w:ascii="Times New Roman" w:eastAsiaTheme="minorHAnsi" w:hAnsi="Times New Roman"/>
          <w:color w:val="000000"/>
          <w:sz w:val="24"/>
          <w:szCs w:val="24"/>
        </w:rPr>
        <w:t>Tốc</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độ</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vòng</w:t>
      </w:r>
      <w:proofErr w:type="spellEnd"/>
      <w:r w:rsidRPr="00D8620E">
        <w:rPr>
          <w:rFonts w:ascii="Times New Roman" w:eastAsiaTheme="minorHAnsi" w:hAnsi="Times New Roman"/>
          <w:color w:val="000000"/>
          <w:sz w:val="24"/>
          <w:szCs w:val="24"/>
        </w:rPr>
        <w:t xml:space="preserve"> quay </w:t>
      </w:r>
      <w:proofErr w:type="spellStart"/>
      <w:r w:rsidRPr="00D8620E">
        <w:rPr>
          <w:rFonts w:ascii="Times New Roman" w:eastAsiaTheme="minorHAnsi" w:hAnsi="Times New Roman"/>
          <w:color w:val="000000"/>
          <w:sz w:val="24"/>
          <w:szCs w:val="24"/>
        </w:rPr>
        <w:t>danh</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mục</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của</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quỹ</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t</w:t>
      </w:r>
      <w:r w:rsidR="00E250EA" w:rsidRPr="00D8620E">
        <w:rPr>
          <w:rFonts w:ascii="Times New Roman" w:eastAsiaTheme="minorHAnsi" w:hAnsi="Times New Roman"/>
          <w:color w:val="000000"/>
          <w:sz w:val="24"/>
          <w:szCs w:val="24"/>
        </w:rPr>
        <w:t>rong</w:t>
      </w:r>
      <w:proofErr w:type="spellEnd"/>
      <w:r w:rsidR="00E250EA" w:rsidRPr="00D8620E">
        <w:rPr>
          <w:rFonts w:ascii="Times New Roman" w:eastAsiaTheme="minorHAnsi" w:hAnsi="Times New Roman"/>
          <w:color w:val="000000"/>
          <w:sz w:val="24"/>
          <w:szCs w:val="24"/>
        </w:rPr>
        <w:t xml:space="preserve"> </w:t>
      </w:r>
      <w:proofErr w:type="spellStart"/>
      <w:r w:rsidR="00E250EA" w:rsidRPr="00D8620E">
        <w:rPr>
          <w:rFonts w:ascii="Times New Roman" w:eastAsiaTheme="minorHAnsi" w:hAnsi="Times New Roman"/>
          <w:color w:val="000000"/>
          <w:sz w:val="24"/>
          <w:szCs w:val="24"/>
        </w:rPr>
        <w:t>năm</w:t>
      </w:r>
      <w:proofErr w:type="spellEnd"/>
      <w:r w:rsidR="00E250EA" w:rsidRPr="00D8620E">
        <w:rPr>
          <w:rFonts w:ascii="Times New Roman" w:eastAsiaTheme="minorHAnsi" w:hAnsi="Times New Roman"/>
          <w:color w:val="000000"/>
          <w:sz w:val="24"/>
          <w:szCs w:val="24"/>
        </w:rPr>
        <w:t xml:space="preserve"> 20</w:t>
      </w:r>
      <w:r w:rsidR="0035694B">
        <w:rPr>
          <w:rFonts w:ascii="Times New Roman" w:eastAsiaTheme="minorHAnsi" w:hAnsi="Times New Roman"/>
          <w:color w:val="000000"/>
          <w:sz w:val="24"/>
          <w:szCs w:val="24"/>
        </w:rPr>
        <w:t>20</w:t>
      </w:r>
      <w:r w:rsidRPr="00D8620E">
        <w:rPr>
          <w:rFonts w:ascii="Times New Roman" w:eastAsiaTheme="minorHAnsi" w:hAnsi="Times New Roman"/>
          <w:color w:val="000000"/>
          <w:sz w:val="24"/>
          <w:szCs w:val="24"/>
        </w:rPr>
        <w:t xml:space="preserve">: </w:t>
      </w:r>
      <w:r w:rsidR="004C5374" w:rsidRPr="00953F4D">
        <w:rPr>
          <w:rFonts w:ascii="Times New Roman" w:eastAsiaTheme="minorHAnsi" w:hAnsi="Times New Roman"/>
          <w:color w:val="000000"/>
          <w:sz w:val="24"/>
          <w:szCs w:val="24"/>
        </w:rPr>
        <w:t>180.62</w:t>
      </w:r>
      <w:r w:rsidRPr="00953F4D">
        <w:rPr>
          <w:rFonts w:ascii="Times New Roman" w:eastAsiaTheme="minorHAnsi" w:hAnsi="Times New Roman"/>
          <w:color w:val="000000"/>
          <w:sz w:val="24"/>
          <w:szCs w:val="24"/>
        </w:rPr>
        <w:t>%</w:t>
      </w:r>
    </w:p>
    <w:p w14:paraId="21990A7F" w14:textId="488F0EEA" w:rsidR="00EC3454" w:rsidRPr="00D8620E" w:rsidRDefault="00EC3454" w:rsidP="00E250EA">
      <w:pPr>
        <w:rPr>
          <w:rFonts w:ascii="Times New Roman" w:hAnsi="Times New Roman"/>
          <w:i/>
          <w:iCs/>
          <w:sz w:val="24"/>
          <w:szCs w:val="24"/>
        </w:rPr>
      </w:pPr>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Quỹ</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mới</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đi</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vào</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hoạt</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động</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từ</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ngày</w:t>
      </w:r>
      <w:proofErr w:type="spellEnd"/>
      <w:r w:rsidRPr="00D8620E">
        <w:rPr>
          <w:rFonts w:ascii="Times New Roman" w:hAnsi="Times New Roman"/>
          <w:i/>
          <w:iCs/>
          <w:sz w:val="24"/>
          <w:szCs w:val="24"/>
        </w:rPr>
        <w:t xml:space="preserve"> 03/01/2019 </w:t>
      </w:r>
      <w:proofErr w:type="spellStart"/>
      <w:r w:rsidRPr="00D8620E">
        <w:rPr>
          <w:rFonts w:ascii="Times New Roman" w:hAnsi="Times New Roman"/>
          <w:i/>
          <w:iCs/>
          <w:sz w:val="24"/>
          <w:szCs w:val="24"/>
        </w:rPr>
        <w:t>nên</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không</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đủ</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dữ</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liệu</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để</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báo</w:t>
      </w:r>
      <w:proofErr w:type="spellEnd"/>
      <w:r w:rsidRPr="00D8620E">
        <w:rPr>
          <w:rFonts w:ascii="Times New Roman" w:hAnsi="Times New Roman"/>
          <w:i/>
          <w:iCs/>
          <w:sz w:val="24"/>
          <w:szCs w:val="24"/>
        </w:rPr>
        <w:t xml:space="preserve"> </w:t>
      </w:r>
      <w:proofErr w:type="spellStart"/>
      <w:r w:rsidRPr="00D8620E">
        <w:rPr>
          <w:rFonts w:ascii="Times New Roman" w:hAnsi="Times New Roman"/>
          <w:i/>
          <w:iCs/>
          <w:sz w:val="24"/>
          <w:szCs w:val="24"/>
        </w:rPr>
        <w:t>cáo</w:t>
      </w:r>
      <w:proofErr w:type="spellEnd"/>
      <w:r w:rsidR="00AF243A" w:rsidRPr="00D8620E">
        <w:rPr>
          <w:rFonts w:ascii="Times New Roman" w:hAnsi="Times New Roman"/>
          <w:i/>
          <w:iCs/>
          <w:sz w:val="24"/>
          <w:szCs w:val="24"/>
        </w:rPr>
        <w:t xml:space="preserve"> </w:t>
      </w:r>
      <w:proofErr w:type="spellStart"/>
      <w:r w:rsidR="00AF243A" w:rsidRPr="00D8620E">
        <w:rPr>
          <w:rFonts w:ascii="Times New Roman" w:hAnsi="Times New Roman"/>
          <w:i/>
          <w:iCs/>
          <w:sz w:val="24"/>
          <w:szCs w:val="24"/>
        </w:rPr>
        <w:t>cho</w:t>
      </w:r>
      <w:proofErr w:type="spellEnd"/>
      <w:r w:rsidR="00AF243A" w:rsidRPr="00D8620E">
        <w:rPr>
          <w:rFonts w:ascii="Times New Roman" w:hAnsi="Times New Roman"/>
          <w:i/>
          <w:iCs/>
          <w:sz w:val="24"/>
          <w:szCs w:val="24"/>
        </w:rPr>
        <w:t xml:space="preserve"> </w:t>
      </w:r>
      <w:proofErr w:type="spellStart"/>
      <w:r w:rsidR="00AF243A" w:rsidRPr="00D8620E">
        <w:rPr>
          <w:rFonts w:ascii="Times New Roman" w:hAnsi="Times New Roman"/>
          <w:i/>
          <w:iCs/>
          <w:sz w:val="24"/>
          <w:szCs w:val="24"/>
        </w:rPr>
        <w:t>năm</w:t>
      </w:r>
      <w:proofErr w:type="spellEnd"/>
      <w:r w:rsidR="00953F4D">
        <w:rPr>
          <w:rFonts w:ascii="Times New Roman" w:hAnsi="Times New Roman"/>
          <w:i/>
          <w:iCs/>
          <w:sz w:val="24"/>
          <w:szCs w:val="24"/>
        </w:rPr>
        <w:t xml:space="preserve"> </w:t>
      </w:r>
      <w:r w:rsidR="00AF243A" w:rsidRPr="00D8620E">
        <w:rPr>
          <w:rFonts w:ascii="Times New Roman" w:hAnsi="Times New Roman"/>
          <w:i/>
          <w:iCs/>
          <w:sz w:val="24"/>
          <w:szCs w:val="24"/>
        </w:rPr>
        <w:t>2018</w:t>
      </w:r>
      <w:r w:rsidR="00E250EA" w:rsidRPr="00D8620E">
        <w:rPr>
          <w:rFonts w:ascii="Times New Roman" w:hAnsi="Times New Roman"/>
          <w:i/>
          <w:iCs/>
          <w:sz w:val="24"/>
          <w:szCs w:val="24"/>
        </w:rPr>
        <w:t>.</w:t>
      </w:r>
    </w:p>
    <w:p w14:paraId="07345F0A" w14:textId="77777777" w:rsidR="000A2248" w:rsidRPr="00953F4D" w:rsidRDefault="00100534" w:rsidP="004352B7">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953F4D">
        <w:rPr>
          <w:rFonts w:ascii="Times New Roman" w:hAnsi="Times New Roman"/>
          <w:sz w:val="24"/>
          <w:szCs w:val="24"/>
        </w:rPr>
        <w:t>Chỉ</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tiêu</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về</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lợi</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nhuận</w:t>
      </w:r>
      <w:proofErr w:type="spellEnd"/>
      <w:r w:rsidRPr="00953F4D">
        <w:rPr>
          <w:rFonts w:ascii="Times New Roman" w:hAnsi="Times New Roman"/>
          <w:sz w:val="24"/>
          <w:szCs w:val="24"/>
        </w:rPr>
        <w:t xml:space="preserve"> </w:t>
      </w:r>
      <w:proofErr w:type="spellStart"/>
      <w:r w:rsidRPr="00953F4D">
        <w:rPr>
          <w:rFonts w:ascii="Times New Roman" w:hAnsi="Times New Roman"/>
          <w:sz w:val="24"/>
          <w:szCs w:val="24"/>
        </w:rPr>
        <w:t>của</w:t>
      </w:r>
      <w:proofErr w:type="spellEnd"/>
      <w:r w:rsidRPr="00953F4D">
        <w:rPr>
          <w:rFonts w:ascii="Times New Roman" w:hAnsi="Times New Roman"/>
          <w:sz w:val="24"/>
          <w:szCs w:val="24"/>
        </w:rPr>
        <w:t xml:space="preserve"> </w:t>
      </w:r>
      <w:proofErr w:type="spellStart"/>
      <w:r w:rsidR="004352B7" w:rsidRPr="00953F4D">
        <w:rPr>
          <w:rFonts w:ascii="Times New Roman" w:hAnsi="Times New Roman"/>
          <w:sz w:val="24"/>
          <w:szCs w:val="24"/>
        </w:rPr>
        <w:t>Q</w:t>
      </w:r>
      <w:r w:rsidRPr="00953F4D">
        <w:rPr>
          <w:rFonts w:ascii="Times New Roman" w:hAnsi="Times New Roman"/>
          <w:sz w:val="24"/>
          <w:szCs w:val="24"/>
        </w:rPr>
        <w:t>uỹ</w:t>
      </w:r>
      <w:proofErr w:type="spellEnd"/>
      <w:r w:rsidRPr="00953F4D">
        <w:rPr>
          <w:rFonts w:ascii="Times New Roman" w:hAnsi="Times New Roman"/>
          <w:sz w:val="24"/>
          <w:szCs w:val="24"/>
        </w:rPr>
        <w:t xml:space="preserve">: </w:t>
      </w:r>
    </w:p>
    <w:tbl>
      <w:tblPr>
        <w:tblW w:w="5147" w:type="pct"/>
        <w:tblLook w:val="04A0" w:firstRow="1" w:lastRow="0" w:firstColumn="1" w:lastColumn="0" w:noHBand="0" w:noVBand="1"/>
      </w:tblPr>
      <w:tblGrid>
        <w:gridCol w:w="4083"/>
        <w:gridCol w:w="2110"/>
        <w:gridCol w:w="1716"/>
        <w:gridCol w:w="1716"/>
      </w:tblGrid>
      <w:tr w:rsidR="00E737D0" w:rsidRPr="00D8620E" w14:paraId="5AE2E293" w14:textId="77777777" w:rsidTr="00D8620E">
        <w:trPr>
          <w:trHeight w:val="719"/>
        </w:trPr>
        <w:tc>
          <w:tcPr>
            <w:tcW w:w="213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2EBF3F" w14:textId="77777777" w:rsidR="00E737D0" w:rsidRPr="00D8620E" w:rsidRDefault="00E737D0" w:rsidP="00D8620E">
            <w:pPr>
              <w:jc w:val="center"/>
              <w:rPr>
                <w:rFonts w:ascii="Times New Roman" w:hAnsi="Times New Roman"/>
                <w:color w:val="000000"/>
              </w:rPr>
            </w:pPr>
            <w:proofErr w:type="spellStart"/>
            <w:r w:rsidRPr="00D8620E">
              <w:rPr>
                <w:rFonts w:ascii="Times New Roman" w:hAnsi="Times New Roman"/>
                <w:b/>
                <w:bCs/>
                <w:color w:val="000000"/>
              </w:rPr>
              <w:t>Tổng</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bình</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quân</w:t>
            </w:r>
            <w:proofErr w:type="spellEnd"/>
          </w:p>
        </w:tc>
        <w:tc>
          <w:tcPr>
            <w:tcW w:w="111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F6BD211" w14:textId="77777777" w:rsidR="00E737D0" w:rsidRPr="00D8620E" w:rsidRDefault="00E737D0" w:rsidP="00D8620E">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đã</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thực</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hiện</w:t>
            </w:r>
            <w:proofErr w:type="spellEnd"/>
            <w:r w:rsidRPr="00D8620E">
              <w:rPr>
                <w:rFonts w:ascii="Times New Roman" w:hAnsi="Times New Roman"/>
                <w:b/>
                <w:bCs/>
                <w:color w:val="000000"/>
              </w:rPr>
              <w:t xml:space="preserve"> (VND)</w:t>
            </w:r>
          </w:p>
        </w:tc>
        <w:tc>
          <w:tcPr>
            <w:tcW w:w="86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666AB85" w14:textId="77777777" w:rsidR="00E737D0" w:rsidRPr="00D8620E" w:rsidRDefault="00E737D0" w:rsidP="00D8620E">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chưa</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thực</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hiện</w:t>
            </w:r>
            <w:proofErr w:type="spellEnd"/>
            <w:r w:rsidRPr="00D8620E">
              <w:rPr>
                <w:rFonts w:ascii="Times New Roman" w:hAnsi="Times New Roman"/>
                <w:b/>
                <w:bCs/>
                <w:color w:val="000000"/>
              </w:rPr>
              <w:t xml:space="preserve"> (VND)</w:t>
            </w:r>
          </w:p>
        </w:tc>
        <w:tc>
          <w:tcPr>
            <w:tcW w:w="88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CEE2E2" w14:textId="77777777" w:rsidR="00E737D0" w:rsidRPr="00D8620E" w:rsidRDefault="00BD7CEF" w:rsidP="00D8620E">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lũy</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kế</w:t>
            </w:r>
            <w:proofErr w:type="spellEnd"/>
            <w:r w:rsidRPr="00D8620E">
              <w:rPr>
                <w:rFonts w:ascii="Times New Roman" w:hAnsi="Times New Roman"/>
                <w:b/>
                <w:bCs/>
                <w:color w:val="000000"/>
              </w:rPr>
              <w:t xml:space="preserve"> </w:t>
            </w:r>
            <w:r w:rsidR="00E737D0" w:rsidRPr="00D8620E">
              <w:rPr>
                <w:rFonts w:ascii="Times New Roman" w:hAnsi="Times New Roman"/>
                <w:b/>
                <w:bCs/>
                <w:color w:val="000000"/>
              </w:rPr>
              <w:t>(VND)</w:t>
            </w:r>
          </w:p>
        </w:tc>
      </w:tr>
      <w:tr w:rsidR="00E737D0" w:rsidRPr="00D8620E" w14:paraId="3F01525A" w14:textId="77777777" w:rsidTr="0035694B">
        <w:trPr>
          <w:trHeight w:val="792"/>
        </w:trPr>
        <w:tc>
          <w:tcPr>
            <w:tcW w:w="2137"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D1AFF83" w14:textId="77777777" w:rsidR="00E737D0" w:rsidRPr="00D8620E" w:rsidRDefault="0035694B" w:rsidP="00E737D0">
            <w:pPr>
              <w:jc w:val="both"/>
              <w:rPr>
                <w:rFonts w:ascii="Times New Roman" w:hAnsi="Times New Roman"/>
                <w:color w:val="000000"/>
                <w:sz w:val="24"/>
                <w:szCs w:val="24"/>
              </w:rPr>
            </w:pPr>
            <w:r w:rsidRPr="002A7FEF">
              <w:rPr>
                <w:rFonts w:ascii="Times New Roman" w:hAnsi="Times New Roman"/>
                <w:sz w:val="24"/>
                <w:szCs w:val="24"/>
              </w:rPr>
              <w:t xml:space="preserve">(ii)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36 </w:t>
            </w:r>
            <w:proofErr w:type="spellStart"/>
            <w:r w:rsidRPr="002A7FEF">
              <w:rPr>
                <w:rFonts w:ascii="Times New Roman" w:hAnsi="Times New Roman"/>
                <w:sz w:val="24"/>
                <w:szCs w:val="24"/>
              </w:rPr>
              <w:t>tháng</w:t>
            </w:r>
            <w:proofErr w:type="spellEnd"/>
            <w:r w:rsidRPr="002A7FEF">
              <w:rPr>
                <w:rFonts w:ascii="Times New Roman" w:hAnsi="Times New Roman"/>
                <w:sz w:val="24"/>
                <w:szCs w:val="24"/>
              </w:rPr>
              <w:t xml:space="preserve"> (3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hoặc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điểm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nếu</w:t>
            </w:r>
            <w:proofErr w:type="spellEnd"/>
            <w:r w:rsidRPr="002A7FEF">
              <w:rPr>
                <w:rFonts w:ascii="Times New Roman" w:hAnsi="Times New Roman"/>
                <w:sz w:val="24"/>
                <w:szCs w:val="24"/>
              </w:rPr>
              <w:t xml:space="preserve"> </w:t>
            </w:r>
            <w:proofErr w:type="spellStart"/>
            <w:r>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dưới</w:t>
            </w:r>
            <w:proofErr w:type="spellEnd"/>
            <w:r w:rsidRPr="002A7FEF">
              <w:rPr>
                <w:rFonts w:ascii="Times New Roman" w:hAnsi="Times New Roman"/>
                <w:sz w:val="24"/>
                <w:szCs w:val="24"/>
              </w:rPr>
              <w:t xml:space="preserve"> 3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w:t>
            </w:r>
          </w:p>
        </w:tc>
        <w:tc>
          <w:tcPr>
            <w:tcW w:w="1112" w:type="pct"/>
            <w:tcBorders>
              <w:top w:val="single" w:sz="4" w:space="0" w:color="auto"/>
              <w:left w:val="nil"/>
              <w:bottom w:val="single" w:sz="8" w:space="0" w:color="auto"/>
              <w:right w:val="single" w:sz="8" w:space="0" w:color="auto"/>
            </w:tcBorders>
            <w:shd w:val="clear" w:color="auto" w:fill="auto"/>
            <w:vAlign w:val="center"/>
          </w:tcPr>
          <w:p w14:paraId="1FC923D3" w14:textId="435236B9" w:rsidR="00E737D0" w:rsidRPr="00B3774D" w:rsidRDefault="00953F4D" w:rsidP="00C503F3">
            <w:pPr>
              <w:jc w:val="right"/>
              <w:rPr>
                <w:rFonts w:ascii="Times New Roman" w:hAnsi="Times New Roman"/>
                <w:color w:val="000000"/>
                <w:sz w:val="24"/>
                <w:szCs w:val="24"/>
                <w:highlight w:val="yellow"/>
              </w:rPr>
            </w:pPr>
            <w:r>
              <w:rPr>
                <w:rFonts w:ascii="Times New Roman" w:hAnsi="Times New Roman"/>
                <w:color w:val="000000"/>
                <w:sz w:val="24"/>
                <w:szCs w:val="24"/>
              </w:rPr>
              <w:t>(</w:t>
            </w:r>
            <w:r w:rsidR="006B18C5" w:rsidRPr="006B18C5">
              <w:rPr>
                <w:rFonts w:ascii="Times New Roman" w:hAnsi="Times New Roman"/>
                <w:color w:val="000000"/>
                <w:sz w:val="24"/>
                <w:szCs w:val="24"/>
              </w:rPr>
              <w:t>174,877,713</w:t>
            </w:r>
            <w:r>
              <w:rPr>
                <w:rFonts w:ascii="Times New Roman" w:hAnsi="Times New Roman"/>
                <w:color w:val="000000"/>
                <w:sz w:val="24"/>
                <w:szCs w:val="24"/>
              </w:rPr>
              <w:t>)</w:t>
            </w:r>
          </w:p>
        </w:tc>
        <w:tc>
          <w:tcPr>
            <w:tcW w:w="863" w:type="pct"/>
            <w:tcBorders>
              <w:top w:val="single" w:sz="4" w:space="0" w:color="auto"/>
              <w:left w:val="nil"/>
              <w:bottom w:val="single" w:sz="8" w:space="0" w:color="auto"/>
              <w:right w:val="single" w:sz="8" w:space="0" w:color="auto"/>
            </w:tcBorders>
            <w:shd w:val="clear" w:color="auto" w:fill="auto"/>
            <w:vAlign w:val="center"/>
          </w:tcPr>
          <w:p w14:paraId="02702A53" w14:textId="18785434" w:rsidR="00E737D0" w:rsidRPr="00B3774D" w:rsidRDefault="006B18C5" w:rsidP="00C503F3">
            <w:pPr>
              <w:jc w:val="right"/>
              <w:rPr>
                <w:rFonts w:ascii="Times New Roman" w:hAnsi="Times New Roman"/>
                <w:color w:val="000000"/>
                <w:sz w:val="24"/>
                <w:szCs w:val="24"/>
                <w:highlight w:val="yellow"/>
              </w:rPr>
            </w:pPr>
            <w:r w:rsidRPr="006B18C5">
              <w:rPr>
                <w:rFonts w:ascii="Times New Roman" w:hAnsi="Times New Roman"/>
                <w:color w:val="000000"/>
                <w:sz w:val="24"/>
                <w:szCs w:val="24"/>
              </w:rPr>
              <w:t>21,535,264,171</w:t>
            </w:r>
          </w:p>
        </w:tc>
        <w:tc>
          <w:tcPr>
            <w:tcW w:w="888" w:type="pct"/>
            <w:tcBorders>
              <w:top w:val="single" w:sz="4" w:space="0" w:color="auto"/>
              <w:left w:val="nil"/>
              <w:bottom w:val="single" w:sz="8" w:space="0" w:color="auto"/>
              <w:right w:val="single" w:sz="8" w:space="0" w:color="auto"/>
            </w:tcBorders>
            <w:shd w:val="clear" w:color="auto" w:fill="auto"/>
            <w:vAlign w:val="center"/>
          </w:tcPr>
          <w:p w14:paraId="24146F5F" w14:textId="63DB820D" w:rsidR="00E737D0" w:rsidRPr="00B3774D" w:rsidRDefault="006B18C5" w:rsidP="00C503F3">
            <w:pPr>
              <w:jc w:val="right"/>
              <w:rPr>
                <w:rFonts w:ascii="Times New Roman" w:hAnsi="Times New Roman"/>
                <w:color w:val="000000"/>
                <w:sz w:val="24"/>
                <w:szCs w:val="24"/>
                <w:highlight w:val="yellow"/>
              </w:rPr>
            </w:pPr>
            <w:r w:rsidRPr="006B18C5">
              <w:rPr>
                <w:rFonts w:ascii="Times New Roman" w:hAnsi="Times New Roman"/>
                <w:color w:val="000000"/>
                <w:sz w:val="24"/>
                <w:szCs w:val="24"/>
              </w:rPr>
              <w:t>21,360,386,458</w:t>
            </w:r>
          </w:p>
        </w:tc>
      </w:tr>
    </w:tbl>
    <w:p w14:paraId="30C11213" w14:textId="77777777" w:rsidR="00100534" w:rsidRPr="00D8620E" w:rsidRDefault="00100534" w:rsidP="004352B7">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tiêu</w:t>
      </w:r>
      <w:proofErr w:type="spellEnd"/>
      <w:r w:rsidRPr="00D8620E">
        <w:rPr>
          <w:rFonts w:ascii="Times New Roman" w:hAnsi="Times New Roman"/>
          <w:sz w:val="24"/>
          <w:szCs w:val="24"/>
        </w:rPr>
        <w:t xml:space="preserve"> so </w:t>
      </w:r>
      <w:proofErr w:type="spellStart"/>
      <w:r w:rsidRPr="00D8620E">
        <w:rPr>
          <w:rFonts w:ascii="Times New Roman" w:hAnsi="Times New Roman"/>
          <w:sz w:val="24"/>
          <w:szCs w:val="24"/>
        </w:rPr>
        <w:t>sánh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w:t>
      </w:r>
      <w:r w:rsidR="00063E75" w:rsidRPr="00D8620E">
        <w:rPr>
          <w:rFonts w:ascii="Times New Roman" w:hAnsi="Times New Roman"/>
          <w:sz w:val="24"/>
          <w:szCs w:val="24"/>
        </w:rPr>
        <w:t xml:space="preserve"> </w:t>
      </w:r>
      <w:proofErr w:type="spellStart"/>
      <w:r w:rsidR="00063E75" w:rsidRPr="00D8620E">
        <w:rPr>
          <w:rFonts w:ascii="Times New Roman" w:hAnsi="Times New Roman"/>
          <w:i/>
          <w:sz w:val="24"/>
          <w:szCs w:val="24"/>
        </w:rPr>
        <w:t>Không</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áp</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dụng</w:t>
      </w:r>
      <w:proofErr w:type="spellEnd"/>
    </w:p>
    <w:p w14:paraId="79DF3266" w14:textId="77777777" w:rsidR="00100534" w:rsidRPr="00D8620E" w:rsidRDefault="00CD76F9" w:rsidP="004352B7">
      <w:pPr>
        <w:pStyle w:val="ListParagraph"/>
        <w:numPr>
          <w:ilvl w:val="0"/>
          <w:numId w:val="3"/>
        </w:numPr>
        <w:tabs>
          <w:tab w:val="left" w:pos="180"/>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D8620E">
        <w:rPr>
          <w:rFonts w:ascii="Times New Roman" w:hAnsi="Times New Roman"/>
          <w:sz w:val="24"/>
          <w:szCs w:val="24"/>
        </w:rPr>
        <w:t>K</w:t>
      </w:r>
      <w:r w:rsidR="00100534" w:rsidRPr="00D8620E">
        <w:rPr>
          <w:rFonts w:ascii="Times New Roman" w:hAnsi="Times New Roman"/>
          <w:sz w:val="24"/>
          <w:szCs w:val="24"/>
        </w:rPr>
        <w:t>huyến</w:t>
      </w:r>
      <w:proofErr w:type="spellEnd"/>
      <w:r w:rsidR="00100534" w:rsidRPr="00D8620E">
        <w:rPr>
          <w:rFonts w:ascii="Times New Roman" w:hAnsi="Times New Roman"/>
          <w:sz w:val="24"/>
          <w:szCs w:val="24"/>
        </w:rPr>
        <w:t xml:space="preserve"> </w:t>
      </w:r>
      <w:proofErr w:type="spellStart"/>
      <w:r w:rsidR="00100534" w:rsidRPr="00D8620E">
        <w:rPr>
          <w:rFonts w:ascii="Times New Roman" w:hAnsi="Times New Roman"/>
          <w:sz w:val="24"/>
          <w:szCs w:val="24"/>
        </w:rPr>
        <w:t>cáo</w:t>
      </w:r>
      <w:proofErr w:type="spellEnd"/>
      <w:r w:rsidRPr="00D8620E">
        <w:rPr>
          <w:rFonts w:ascii="Times New Roman" w:hAnsi="Times New Roman"/>
          <w:sz w:val="24"/>
          <w:szCs w:val="24"/>
        </w:rPr>
        <w:t>:</w:t>
      </w:r>
      <w:r w:rsidR="00BC38CC" w:rsidRPr="00D8620E">
        <w:rPr>
          <w:rFonts w:ascii="Times New Roman" w:hAnsi="Times New Roman"/>
          <w:sz w:val="24"/>
          <w:szCs w:val="24"/>
        </w:rPr>
        <w:t xml:space="preserve"> T</w:t>
      </w:r>
      <w:r w:rsidR="00100534" w:rsidRPr="00D8620E">
        <w:rPr>
          <w:rFonts w:ascii="Times New Roman" w:hAnsi="Times New Roman"/>
          <w:sz w:val="24"/>
          <w:szCs w:val="24"/>
          <w:lang w:val="pt-BR"/>
        </w:rPr>
        <w:t xml:space="preserve">hông tin về kết quả hoạt động của </w:t>
      </w:r>
      <w:r w:rsidR="00BC38CC" w:rsidRPr="00D8620E">
        <w:rPr>
          <w:rFonts w:ascii="Times New Roman" w:hAnsi="Times New Roman"/>
          <w:sz w:val="24"/>
          <w:szCs w:val="24"/>
          <w:lang w:val="pt-BR"/>
        </w:rPr>
        <w:t>Q</w:t>
      </w:r>
      <w:r w:rsidR="00100534" w:rsidRPr="00D8620E">
        <w:rPr>
          <w:rFonts w:ascii="Times New Roman" w:hAnsi="Times New Roman"/>
          <w:sz w:val="24"/>
          <w:szCs w:val="24"/>
          <w:lang w:val="pt-BR"/>
        </w:rPr>
        <w:t xml:space="preserve">uỹ chỉ mang tính tham khảo và không có nghĩa là việc đầu tư sẽ bảo đảm khả năng sinh lời cho </w:t>
      </w:r>
      <w:r w:rsidR="00BC38CC" w:rsidRPr="00D8620E">
        <w:rPr>
          <w:rFonts w:ascii="Times New Roman" w:hAnsi="Times New Roman"/>
          <w:sz w:val="24"/>
          <w:szCs w:val="24"/>
          <w:lang w:val="pt-BR"/>
        </w:rPr>
        <w:t>N</w:t>
      </w:r>
      <w:r w:rsidR="00100534" w:rsidRPr="00D8620E">
        <w:rPr>
          <w:rFonts w:ascii="Times New Roman" w:hAnsi="Times New Roman"/>
          <w:sz w:val="24"/>
          <w:szCs w:val="24"/>
          <w:lang w:val="pt-BR"/>
        </w:rPr>
        <w:t>hà đầu tư</w:t>
      </w:r>
      <w:r w:rsidR="00BC38CC" w:rsidRPr="00D8620E">
        <w:rPr>
          <w:rFonts w:ascii="Times New Roman" w:hAnsi="Times New Roman"/>
          <w:sz w:val="24"/>
          <w:szCs w:val="24"/>
          <w:lang w:val="pt-BR"/>
        </w:rPr>
        <w:t xml:space="preserve"> trong tương lai.</w:t>
      </w:r>
    </w:p>
    <w:p w14:paraId="029D688C" w14:textId="77777777" w:rsidR="00100534" w:rsidRPr="00D8620E"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D8620E">
        <w:rPr>
          <w:rFonts w:ascii="Times New Roman" w:hAnsi="Times New Roman"/>
          <w:b/>
          <w:sz w:val="24"/>
          <w:szCs w:val="24"/>
        </w:rPr>
        <w:t>Báo</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cáo</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về</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hoạt</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động</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quản</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lý</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tài</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sản</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của</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Công</w:t>
      </w:r>
      <w:proofErr w:type="spellEnd"/>
      <w:r w:rsidRPr="00D8620E">
        <w:rPr>
          <w:rFonts w:ascii="Times New Roman" w:hAnsi="Times New Roman"/>
          <w:b/>
          <w:sz w:val="24"/>
          <w:szCs w:val="24"/>
        </w:rPr>
        <w:t xml:space="preserve"> ty </w:t>
      </w:r>
      <w:proofErr w:type="spellStart"/>
      <w:r w:rsidR="00BC38CC" w:rsidRPr="00D8620E">
        <w:rPr>
          <w:rFonts w:ascii="Times New Roman" w:hAnsi="Times New Roman"/>
          <w:b/>
          <w:sz w:val="24"/>
          <w:szCs w:val="24"/>
        </w:rPr>
        <w:t>Q</w:t>
      </w:r>
      <w:r w:rsidRPr="00D8620E">
        <w:rPr>
          <w:rFonts w:ascii="Times New Roman" w:hAnsi="Times New Roman"/>
          <w:b/>
          <w:sz w:val="24"/>
          <w:szCs w:val="24"/>
        </w:rPr>
        <w:t>uản</w:t>
      </w:r>
      <w:proofErr w:type="spellEnd"/>
      <w:r w:rsidRPr="00D8620E">
        <w:rPr>
          <w:rFonts w:ascii="Times New Roman" w:hAnsi="Times New Roman"/>
          <w:b/>
          <w:sz w:val="24"/>
          <w:szCs w:val="24"/>
        </w:rPr>
        <w:t xml:space="preserve"> </w:t>
      </w:r>
      <w:proofErr w:type="spellStart"/>
      <w:r w:rsidRPr="00D8620E">
        <w:rPr>
          <w:rFonts w:ascii="Times New Roman" w:hAnsi="Times New Roman"/>
          <w:b/>
          <w:sz w:val="24"/>
          <w:szCs w:val="24"/>
        </w:rPr>
        <w:t>lý</w:t>
      </w:r>
      <w:proofErr w:type="spellEnd"/>
      <w:r w:rsidRPr="00D8620E">
        <w:rPr>
          <w:rFonts w:ascii="Times New Roman" w:hAnsi="Times New Roman"/>
          <w:b/>
          <w:sz w:val="24"/>
          <w:szCs w:val="24"/>
        </w:rPr>
        <w:t xml:space="preserve"> </w:t>
      </w:r>
      <w:proofErr w:type="spellStart"/>
      <w:r w:rsidR="00BC38CC" w:rsidRPr="00D8620E">
        <w:rPr>
          <w:rFonts w:ascii="Times New Roman" w:hAnsi="Times New Roman"/>
          <w:b/>
          <w:sz w:val="24"/>
          <w:szCs w:val="24"/>
        </w:rPr>
        <w:t>Q</w:t>
      </w:r>
      <w:r w:rsidRPr="00D8620E">
        <w:rPr>
          <w:rFonts w:ascii="Times New Roman" w:hAnsi="Times New Roman"/>
          <w:b/>
          <w:sz w:val="24"/>
          <w:szCs w:val="24"/>
        </w:rPr>
        <w:t>uỹ</w:t>
      </w:r>
      <w:proofErr w:type="spellEnd"/>
    </w:p>
    <w:p w14:paraId="6BC06F24" w14:textId="77777777" w:rsidR="00100534" w:rsidRPr="00D8620E"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đổi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00AE6D17" w:rsidRPr="00D8620E">
        <w:rPr>
          <w:rFonts w:ascii="Times New Roman" w:hAnsi="Times New Roman"/>
          <w:sz w:val="24"/>
          <w:szCs w:val="24"/>
        </w:rPr>
        <w:t>Q</w:t>
      </w:r>
      <w:r w:rsidRPr="00D8620E">
        <w:rPr>
          <w:rFonts w:ascii="Times New Roman" w:hAnsi="Times New Roman"/>
          <w:sz w:val="24"/>
          <w:szCs w:val="24"/>
        </w:rPr>
        <w:t>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00AE6D17" w:rsidRPr="00D8620E">
        <w:rPr>
          <w:rFonts w:ascii="Times New Roman" w:hAnsi="Times New Roman"/>
          <w:sz w:val="24"/>
          <w:szCs w:val="24"/>
        </w:rPr>
        <w:t>Q</w:t>
      </w:r>
      <w:r w:rsidRPr="00D8620E">
        <w:rPr>
          <w:rFonts w:ascii="Times New Roman" w:hAnsi="Times New Roman"/>
          <w:sz w:val="24"/>
          <w:szCs w:val="24"/>
        </w:rPr>
        <w:t>uỹ</w:t>
      </w:r>
      <w:proofErr w:type="spellEnd"/>
      <w:r w:rsidR="003A0280" w:rsidRPr="00D8620E">
        <w:rPr>
          <w:rFonts w:ascii="Times New Roman" w:hAnsi="Times New Roman"/>
          <w:sz w:val="24"/>
          <w:szCs w:val="24"/>
        </w:rPr>
        <w:t xml:space="preserve">: </w:t>
      </w:r>
      <w:proofErr w:type="spellStart"/>
      <w:r w:rsidR="00063E75" w:rsidRPr="00D8620E">
        <w:rPr>
          <w:rFonts w:ascii="Times New Roman" w:hAnsi="Times New Roman"/>
          <w:i/>
          <w:sz w:val="24"/>
          <w:szCs w:val="24"/>
        </w:rPr>
        <w:t>Quỹ</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không</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có</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thay</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đổi</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Công</w:t>
      </w:r>
      <w:proofErr w:type="spellEnd"/>
      <w:r w:rsidR="00063E75" w:rsidRPr="00D8620E">
        <w:rPr>
          <w:rFonts w:ascii="Times New Roman" w:hAnsi="Times New Roman"/>
          <w:i/>
          <w:sz w:val="24"/>
          <w:szCs w:val="24"/>
        </w:rPr>
        <w:t xml:space="preserve"> ty </w:t>
      </w:r>
      <w:proofErr w:type="spellStart"/>
      <w:r w:rsidR="00BC38CC" w:rsidRPr="00D8620E">
        <w:rPr>
          <w:rFonts w:ascii="Times New Roman" w:hAnsi="Times New Roman"/>
          <w:i/>
          <w:sz w:val="24"/>
          <w:szCs w:val="24"/>
        </w:rPr>
        <w:t>Q</w:t>
      </w:r>
      <w:r w:rsidR="00063E75" w:rsidRPr="00D8620E">
        <w:rPr>
          <w:rFonts w:ascii="Times New Roman" w:hAnsi="Times New Roman"/>
          <w:i/>
          <w:sz w:val="24"/>
          <w:szCs w:val="24"/>
        </w:rPr>
        <w:t>uản</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lý</w:t>
      </w:r>
      <w:proofErr w:type="spellEnd"/>
      <w:r w:rsidR="00063E75" w:rsidRPr="00D8620E">
        <w:rPr>
          <w:rFonts w:ascii="Times New Roman" w:hAnsi="Times New Roman"/>
          <w:i/>
          <w:sz w:val="24"/>
          <w:szCs w:val="24"/>
        </w:rPr>
        <w:t xml:space="preserve"> </w:t>
      </w:r>
      <w:proofErr w:type="spellStart"/>
      <w:r w:rsidR="00BC38CC" w:rsidRPr="00D8620E">
        <w:rPr>
          <w:rFonts w:ascii="Times New Roman" w:hAnsi="Times New Roman"/>
          <w:i/>
          <w:sz w:val="24"/>
          <w:szCs w:val="24"/>
        </w:rPr>
        <w:t>Q</w:t>
      </w:r>
      <w:r w:rsidR="00063E75" w:rsidRPr="00D8620E">
        <w:rPr>
          <w:rFonts w:ascii="Times New Roman" w:hAnsi="Times New Roman"/>
          <w:i/>
          <w:sz w:val="24"/>
          <w:szCs w:val="24"/>
        </w:rPr>
        <w:t>uỹ</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trong</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kỳ</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báo</w:t>
      </w:r>
      <w:proofErr w:type="spellEnd"/>
      <w:r w:rsidR="00063E75" w:rsidRPr="00D8620E">
        <w:rPr>
          <w:rFonts w:ascii="Times New Roman" w:hAnsi="Times New Roman"/>
          <w:i/>
          <w:sz w:val="24"/>
          <w:szCs w:val="24"/>
        </w:rPr>
        <w:t xml:space="preserve"> </w:t>
      </w:r>
      <w:proofErr w:type="spellStart"/>
      <w:r w:rsidR="00063E75" w:rsidRPr="00D8620E">
        <w:rPr>
          <w:rFonts w:ascii="Times New Roman" w:hAnsi="Times New Roman"/>
          <w:i/>
          <w:sz w:val="24"/>
          <w:szCs w:val="24"/>
        </w:rPr>
        <w:t>cáo</w:t>
      </w:r>
      <w:proofErr w:type="spellEnd"/>
      <w:r w:rsidR="00D8620E">
        <w:rPr>
          <w:rFonts w:ascii="Times New Roman" w:hAnsi="Times New Roman"/>
          <w:i/>
          <w:sz w:val="24"/>
          <w:szCs w:val="24"/>
        </w:rPr>
        <w:t>.</w:t>
      </w:r>
    </w:p>
    <w:p w14:paraId="50749F55" w14:textId="77777777" w:rsidR="00100534" w:rsidRPr="009C053E"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i/>
          <w:sz w:val="24"/>
          <w:szCs w:val="24"/>
        </w:rPr>
      </w:pPr>
      <w:proofErr w:type="spellStart"/>
      <w:r w:rsidRPr="009C053E">
        <w:rPr>
          <w:rFonts w:ascii="Times New Roman" w:hAnsi="Times New Roman"/>
          <w:sz w:val="24"/>
          <w:szCs w:val="24"/>
        </w:rPr>
        <w:t>Thuyết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minh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về</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việc</w:t>
      </w:r>
      <w:proofErr w:type="spellEnd"/>
      <w:r w:rsidRPr="009C053E">
        <w:rPr>
          <w:rFonts w:ascii="Times New Roman" w:hAnsi="Times New Roman"/>
          <w:sz w:val="24"/>
          <w:szCs w:val="24"/>
        </w:rPr>
        <w:t xml:space="preserve"> </w:t>
      </w:r>
      <w:proofErr w:type="spellStart"/>
      <w:r w:rsidR="00BC38CC" w:rsidRPr="009C053E">
        <w:rPr>
          <w:rFonts w:ascii="Times New Roman" w:hAnsi="Times New Roman"/>
          <w:sz w:val="24"/>
          <w:szCs w:val="24"/>
        </w:rPr>
        <w:t>Q</w:t>
      </w:r>
      <w:r w:rsidRPr="009C053E">
        <w:rPr>
          <w:rFonts w:ascii="Times New Roman" w:hAnsi="Times New Roman"/>
          <w:sz w:val="24"/>
          <w:szCs w:val="24"/>
        </w:rPr>
        <w:t>uỹ</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có</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đạt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được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mục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tiêu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đầu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tư</w:t>
      </w:r>
      <w:proofErr w:type="spellEnd"/>
      <w:r w:rsidR="00BC38CC" w:rsidRPr="009C053E">
        <w:rPr>
          <w:rFonts w:ascii="Times New Roman" w:hAnsi="Times New Roman"/>
          <w:sz w:val="24"/>
          <w:szCs w:val="24"/>
        </w:rPr>
        <w:t>:</w:t>
      </w:r>
    </w:p>
    <w:p w14:paraId="1A001FEF" w14:textId="77777777" w:rsidR="006D7719" w:rsidRPr="006D7719" w:rsidRDefault="006D7719" w:rsidP="006D7719">
      <w:pPr>
        <w:tabs>
          <w:tab w:val="left" w:pos="270"/>
          <w:tab w:val="left" w:pos="1134"/>
        </w:tabs>
        <w:spacing w:before="120" w:after="120" w:line="300" w:lineRule="auto"/>
        <w:jc w:val="both"/>
        <w:rPr>
          <w:rFonts w:ascii="Times New Roman" w:hAnsi="Times New Roman"/>
          <w:sz w:val="24"/>
          <w:szCs w:val="24"/>
          <w:lang w:val="pt-BR"/>
        </w:rPr>
      </w:pPr>
      <w:r w:rsidRPr="006D7719">
        <w:rPr>
          <w:rFonts w:ascii="Times New Roman" w:hAnsi="Times New Roman"/>
          <w:sz w:val="24"/>
          <w:szCs w:val="24"/>
          <w:lang w:val="pt-BR"/>
        </w:rPr>
        <w:t>Trong năm 2020, Quỹ đạt tỷ suất sinh lời 20,98% cao hơn mức tăng của chỉ số VN-index 14,87%.</w:t>
      </w:r>
    </w:p>
    <w:p w14:paraId="71B27F3A" w14:textId="11D5D637" w:rsidR="006D7719" w:rsidRPr="00D8620E" w:rsidRDefault="006D7719"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pt-BR"/>
        </w:rPr>
      </w:pPr>
      <w:r w:rsidRPr="006D7719">
        <w:rPr>
          <w:rFonts w:ascii="Times New Roman" w:hAnsi="Times New Roman"/>
          <w:sz w:val="24"/>
          <w:szCs w:val="24"/>
          <w:lang w:val="pt-BR"/>
        </w:rPr>
        <w:t>Nếu tính từ thời điểm bắt đầu giải ngân từ 10/01/2019 đến 31/12/2020, Quỹ đạt tổng mức sinh lời 26,28% cao hơn so với mức tăng của chỉ số VN-index 22,88%.</w:t>
      </w:r>
    </w:p>
    <w:p w14:paraId="251BFFFC" w14:textId="77777777" w:rsidR="00835733" w:rsidRPr="009C053E" w:rsidRDefault="00100534" w:rsidP="00835733">
      <w:pPr>
        <w:pStyle w:val="ListParagraph"/>
        <w:numPr>
          <w:ilvl w:val="0"/>
          <w:numId w:val="5"/>
        </w:numPr>
        <w:tabs>
          <w:tab w:val="left" w:pos="270"/>
          <w:tab w:val="left" w:pos="1134"/>
        </w:tabs>
        <w:spacing w:before="240" w:after="120"/>
        <w:ind w:left="0" w:firstLine="0"/>
        <w:jc w:val="both"/>
        <w:rPr>
          <w:rFonts w:ascii="Times New Roman" w:hAnsi="Times New Roman"/>
          <w:i/>
          <w:iCs/>
          <w:sz w:val="24"/>
          <w:szCs w:val="24"/>
        </w:rPr>
      </w:pPr>
      <w:r w:rsidRPr="009C053E">
        <w:rPr>
          <w:rFonts w:ascii="Times New Roman" w:hAnsi="Times New Roman"/>
          <w:sz w:val="24"/>
          <w:szCs w:val="24"/>
        </w:rPr>
        <w:t xml:space="preserve">So </w:t>
      </w:r>
      <w:proofErr w:type="spellStart"/>
      <w:r w:rsidRPr="009C053E">
        <w:rPr>
          <w:rFonts w:ascii="Times New Roman" w:hAnsi="Times New Roman"/>
          <w:sz w:val="24"/>
          <w:szCs w:val="24"/>
        </w:rPr>
        <w:t>sánh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kết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quả</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lợi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nhuận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của</w:t>
      </w:r>
      <w:proofErr w:type="spellEnd"/>
      <w:r w:rsidRPr="009C053E">
        <w:rPr>
          <w:rFonts w:ascii="Times New Roman" w:hAnsi="Times New Roman"/>
          <w:sz w:val="24"/>
          <w:szCs w:val="24"/>
        </w:rPr>
        <w:t xml:space="preserve"> </w:t>
      </w:r>
      <w:proofErr w:type="spellStart"/>
      <w:r w:rsidR="00BC38CC" w:rsidRPr="009C053E">
        <w:rPr>
          <w:rFonts w:ascii="Times New Roman" w:hAnsi="Times New Roman"/>
          <w:sz w:val="24"/>
          <w:szCs w:val="24"/>
        </w:rPr>
        <w:t>Q</w:t>
      </w:r>
      <w:r w:rsidRPr="009C053E">
        <w:rPr>
          <w:rFonts w:ascii="Times New Roman" w:hAnsi="Times New Roman"/>
          <w:sz w:val="24"/>
          <w:szCs w:val="24"/>
        </w:rPr>
        <w:t>uỹ</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với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kết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quả</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lợi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nhuận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của</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danh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mục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tham</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chỉ</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số</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cơ</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sở</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công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bố</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tại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Bản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bạch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trong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cùng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kỳ</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bằng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đồ</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thị</w:t>
      </w:r>
      <w:proofErr w:type="spellEnd"/>
      <w:r w:rsidRPr="009C053E">
        <w:rPr>
          <w:rFonts w:ascii="Times New Roman" w:hAnsi="Times New Roman"/>
          <w:i/>
          <w:iCs/>
          <w:sz w:val="24"/>
          <w:szCs w:val="24"/>
        </w:rPr>
        <w:t>)</w:t>
      </w:r>
      <w:r w:rsidR="00433D7C" w:rsidRPr="009C053E">
        <w:rPr>
          <w:rFonts w:ascii="Times New Roman" w:hAnsi="Times New Roman"/>
          <w:i/>
          <w:iCs/>
          <w:sz w:val="24"/>
          <w:szCs w:val="24"/>
        </w:rPr>
        <w:t>:</w:t>
      </w:r>
      <w:r w:rsidR="00AF33F0"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không</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áp</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dụng</w:t>
      </w:r>
      <w:proofErr w:type="spellEnd"/>
      <w:r w:rsidR="00433D7C" w:rsidRPr="009C053E">
        <w:rPr>
          <w:rFonts w:ascii="Times New Roman" w:hAnsi="Times New Roman"/>
          <w:i/>
          <w:iCs/>
          <w:sz w:val="24"/>
          <w:szCs w:val="24"/>
        </w:rPr>
        <w:t xml:space="preserve"> </w:t>
      </w:r>
      <w:r w:rsidR="00AF33F0" w:rsidRPr="009C053E">
        <w:rPr>
          <w:rFonts w:ascii="Times New Roman" w:hAnsi="Times New Roman"/>
          <w:i/>
          <w:iCs/>
          <w:sz w:val="24"/>
          <w:szCs w:val="24"/>
        </w:rPr>
        <w:t xml:space="preserve">do </w:t>
      </w:r>
      <w:proofErr w:type="spellStart"/>
      <w:r w:rsidR="00AF33F0" w:rsidRPr="009C053E">
        <w:rPr>
          <w:rFonts w:ascii="Times New Roman" w:hAnsi="Times New Roman"/>
          <w:i/>
          <w:iCs/>
          <w:sz w:val="24"/>
          <w:szCs w:val="24"/>
        </w:rPr>
        <w:t>Quỹ</w:t>
      </w:r>
      <w:proofErr w:type="spellEnd"/>
      <w:r w:rsidR="00AF33F0" w:rsidRPr="009C053E">
        <w:rPr>
          <w:rFonts w:ascii="Times New Roman" w:hAnsi="Times New Roman"/>
          <w:i/>
          <w:iCs/>
          <w:sz w:val="24"/>
          <w:szCs w:val="24"/>
        </w:rPr>
        <w:t xml:space="preserve"> </w:t>
      </w:r>
      <w:proofErr w:type="spellStart"/>
      <w:r w:rsidR="00AF33F0" w:rsidRPr="009C053E">
        <w:rPr>
          <w:rFonts w:ascii="Times New Roman" w:hAnsi="Times New Roman"/>
          <w:i/>
          <w:iCs/>
          <w:sz w:val="24"/>
          <w:szCs w:val="24"/>
        </w:rPr>
        <w:t>không</w:t>
      </w:r>
      <w:proofErr w:type="spellEnd"/>
      <w:r w:rsidR="00AF33F0" w:rsidRPr="009C053E">
        <w:rPr>
          <w:rFonts w:ascii="Times New Roman" w:hAnsi="Times New Roman"/>
          <w:i/>
          <w:iCs/>
          <w:sz w:val="24"/>
          <w:szCs w:val="24"/>
        </w:rPr>
        <w:t xml:space="preserve"> </w:t>
      </w:r>
      <w:proofErr w:type="spellStart"/>
      <w:r w:rsidR="00AF33F0" w:rsidRPr="009C053E">
        <w:rPr>
          <w:rFonts w:ascii="Times New Roman" w:hAnsi="Times New Roman"/>
          <w:i/>
          <w:iCs/>
          <w:sz w:val="24"/>
          <w:szCs w:val="24"/>
        </w:rPr>
        <w:t>có</w:t>
      </w:r>
      <w:proofErr w:type="spellEnd"/>
      <w:r w:rsidR="00AF33F0"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chỉ</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số</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tham</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chiếu</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danh</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mục</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tham</w:t>
      </w:r>
      <w:proofErr w:type="spellEnd"/>
      <w:r w:rsidR="00433D7C" w:rsidRPr="009C053E">
        <w:rPr>
          <w:rFonts w:ascii="Times New Roman" w:hAnsi="Times New Roman"/>
          <w:i/>
          <w:iCs/>
          <w:sz w:val="24"/>
          <w:szCs w:val="24"/>
        </w:rPr>
        <w:t xml:space="preserve"> </w:t>
      </w:r>
      <w:proofErr w:type="spellStart"/>
      <w:r w:rsidR="00433D7C" w:rsidRPr="009C053E">
        <w:rPr>
          <w:rFonts w:ascii="Times New Roman" w:hAnsi="Times New Roman"/>
          <w:i/>
          <w:iCs/>
          <w:sz w:val="24"/>
          <w:szCs w:val="24"/>
        </w:rPr>
        <w:t>chiế</w:t>
      </w:r>
      <w:r w:rsidR="00AF33F0" w:rsidRPr="009C053E">
        <w:rPr>
          <w:rFonts w:ascii="Times New Roman" w:hAnsi="Times New Roman"/>
          <w:i/>
          <w:iCs/>
          <w:sz w:val="24"/>
          <w:szCs w:val="24"/>
        </w:rPr>
        <w:t>u</w:t>
      </w:r>
      <w:proofErr w:type="spellEnd"/>
      <w:r w:rsidR="00AF33F0" w:rsidRPr="009C053E">
        <w:rPr>
          <w:rFonts w:ascii="Times New Roman" w:hAnsi="Times New Roman"/>
          <w:i/>
          <w:iCs/>
          <w:sz w:val="24"/>
          <w:szCs w:val="24"/>
        </w:rPr>
        <w:t xml:space="preserve"> </w:t>
      </w:r>
      <w:proofErr w:type="spellStart"/>
      <w:r w:rsidR="00AF33F0" w:rsidRPr="009C053E">
        <w:rPr>
          <w:rFonts w:ascii="Times New Roman" w:hAnsi="Times New Roman"/>
          <w:i/>
          <w:iCs/>
          <w:sz w:val="24"/>
          <w:szCs w:val="24"/>
        </w:rPr>
        <w:t>cụ</w:t>
      </w:r>
      <w:proofErr w:type="spellEnd"/>
      <w:r w:rsidR="00AF33F0" w:rsidRPr="009C053E">
        <w:rPr>
          <w:rFonts w:ascii="Times New Roman" w:hAnsi="Times New Roman"/>
          <w:i/>
          <w:iCs/>
          <w:sz w:val="24"/>
          <w:szCs w:val="24"/>
        </w:rPr>
        <w:t xml:space="preserve"> </w:t>
      </w:r>
      <w:proofErr w:type="spellStart"/>
      <w:r w:rsidR="00AF33F0" w:rsidRPr="009C053E">
        <w:rPr>
          <w:rFonts w:ascii="Times New Roman" w:hAnsi="Times New Roman"/>
          <w:i/>
          <w:iCs/>
          <w:sz w:val="24"/>
          <w:szCs w:val="24"/>
        </w:rPr>
        <w:t>thể</w:t>
      </w:r>
      <w:proofErr w:type="spellEnd"/>
      <w:r w:rsidR="00AF33F0" w:rsidRPr="009C053E">
        <w:rPr>
          <w:rFonts w:ascii="Times New Roman" w:hAnsi="Times New Roman"/>
          <w:i/>
          <w:iCs/>
          <w:sz w:val="24"/>
          <w:szCs w:val="24"/>
        </w:rPr>
        <w:t>.</w:t>
      </w:r>
    </w:p>
    <w:p w14:paraId="3E3827CF" w14:textId="77777777" w:rsidR="00100534" w:rsidRPr="009C053E" w:rsidRDefault="00100534" w:rsidP="00835733">
      <w:pPr>
        <w:pStyle w:val="ListParagraph"/>
        <w:numPr>
          <w:ilvl w:val="0"/>
          <w:numId w:val="5"/>
        </w:numPr>
        <w:tabs>
          <w:tab w:val="left" w:pos="270"/>
          <w:tab w:val="left" w:pos="1134"/>
        </w:tabs>
        <w:spacing w:before="240" w:after="120"/>
        <w:ind w:left="0" w:firstLine="0"/>
        <w:contextualSpacing w:val="0"/>
        <w:jc w:val="both"/>
        <w:rPr>
          <w:rFonts w:ascii="Times New Roman" w:hAnsi="Times New Roman"/>
          <w:sz w:val="24"/>
          <w:szCs w:val="24"/>
        </w:rPr>
      </w:pPr>
      <w:r w:rsidRPr="009C053E">
        <w:rPr>
          <w:rFonts w:ascii="Times New Roman" w:hAnsi="Times New Roman"/>
          <w:sz w:val="24"/>
          <w:szCs w:val="24"/>
        </w:rPr>
        <w:t xml:space="preserve">So </w:t>
      </w:r>
      <w:proofErr w:type="spellStart"/>
      <w:r w:rsidRPr="009C053E">
        <w:rPr>
          <w:rFonts w:ascii="Times New Roman" w:hAnsi="Times New Roman"/>
          <w:sz w:val="24"/>
          <w:szCs w:val="24"/>
        </w:rPr>
        <w:t>sánh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kết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quả</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lợi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nhuận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của</w:t>
      </w:r>
      <w:proofErr w:type="spellEnd"/>
      <w:r w:rsidRPr="009C053E">
        <w:rPr>
          <w:rFonts w:ascii="Times New Roman" w:hAnsi="Times New Roman"/>
          <w:sz w:val="24"/>
          <w:szCs w:val="24"/>
        </w:rPr>
        <w:t xml:space="preserve"> </w:t>
      </w:r>
      <w:proofErr w:type="spellStart"/>
      <w:r w:rsidR="00BC38CC" w:rsidRPr="009C053E">
        <w:rPr>
          <w:rFonts w:ascii="Times New Roman" w:hAnsi="Times New Roman"/>
          <w:sz w:val="24"/>
          <w:szCs w:val="24"/>
        </w:rPr>
        <w:t>Q</w:t>
      </w:r>
      <w:r w:rsidRPr="009C053E">
        <w:rPr>
          <w:rFonts w:ascii="Times New Roman" w:hAnsi="Times New Roman"/>
          <w:sz w:val="24"/>
          <w:szCs w:val="24"/>
        </w:rPr>
        <w:t>uỹ</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với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kết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quả</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lợi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nhuận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của</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danh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mục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tham</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chỉ</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số</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cơ</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sở</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công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bố</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tại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Bản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bạch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trong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khoảng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thời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gian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năm</w:t>
      </w:r>
      <w:proofErr w:type="spellEnd"/>
      <w:r w:rsidRPr="009C053E">
        <w:rPr>
          <w:rFonts w:ascii="Times New Roman" w:hAnsi="Times New Roman"/>
          <w:sz w:val="24"/>
          <w:szCs w:val="24"/>
        </w:rPr>
        <w:t xml:space="preserve"> (05) </w:t>
      </w:r>
      <w:proofErr w:type="spellStart"/>
      <w:r w:rsidRPr="009C053E">
        <w:rPr>
          <w:rFonts w:ascii="Times New Roman" w:hAnsi="Times New Roman"/>
          <w:sz w:val="24"/>
          <w:szCs w:val="24"/>
        </w:rPr>
        <w:t>năm</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gần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nhất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tính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tới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ngày</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bằng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đồ</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thị</w:t>
      </w:r>
      <w:proofErr w:type="spellEnd"/>
      <w:r w:rsidRPr="009C053E">
        <w:rPr>
          <w:rFonts w:ascii="Times New Roman" w:hAnsi="Times New Roman"/>
          <w:sz w:val="24"/>
          <w:szCs w:val="24"/>
        </w:rPr>
        <w:t>)</w:t>
      </w:r>
      <w:r w:rsidR="00F27D08" w:rsidRPr="009C053E">
        <w:rPr>
          <w:rFonts w:ascii="Times New Roman" w:hAnsi="Times New Roman"/>
          <w:sz w:val="24"/>
          <w:szCs w:val="24"/>
        </w:rPr>
        <w:t xml:space="preserve">: </w:t>
      </w:r>
      <w:proofErr w:type="spellStart"/>
      <w:r w:rsidR="00AA2CB5" w:rsidRPr="009C053E">
        <w:rPr>
          <w:rFonts w:ascii="Times New Roman" w:hAnsi="Times New Roman"/>
          <w:i/>
          <w:sz w:val="24"/>
          <w:szCs w:val="24"/>
        </w:rPr>
        <w:t>không</w:t>
      </w:r>
      <w:proofErr w:type="spellEnd"/>
      <w:r w:rsidR="00AA2CB5" w:rsidRPr="009C053E">
        <w:rPr>
          <w:rFonts w:ascii="Times New Roman" w:hAnsi="Times New Roman"/>
          <w:i/>
          <w:sz w:val="24"/>
          <w:szCs w:val="24"/>
        </w:rPr>
        <w:t xml:space="preserve"> </w:t>
      </w:r>
      <w:proofErr w:type="spellStart"/>
      <w:r w:rsidR="00AA2CB5" w:rsidRPr="009C053E">
        <w:rPr>
          <w:rFonts w:ascii="Times New Roman" w:hAnsi="Times New Roman"/>
          <w:i/>
          <w:sz w:val="24"/>
          <w:szCs w:val="24"/>
        </w:rPr>
        <w:t>áp</w:t>
      </w:r>
      <w:proofErr w:type="spellEnd"/>
      <w:r w:rsidR="00AA2CB5" w:rsidRPr="009C053E">
        <w:rPr>
          <w:rFonts w:ascii="Times New Roman" w:hAnsi="Times New Roman"/>
          <w:i/>
          <w:sz w:val="24"/>
          <w:szCs w:val="24"/>
        </w:rPr>
        <w:t xml:space="preserve"> </w:t>
      </w:r>
      <w:proofErr w:type="spellStart"/>
      <w:r w:rsidR="00AA2CB5" w:rsidRPr="009C053E">
        <w:rPr>
          <w:rFonts w:ascii="Times New Roman" w:hAnsi="Times New Roman"/>
          <w:i/>
          <w:sz w:val="24"/>
          <w:szCs w:val="24"/>
        </w:rPr>
        <w:t>dụng</w:t>
      </w:r>
      <w:proofErr w:type="spellEnd"/>
      <w:r w:rsidR="00AF33F0" w:rsidRPr="009C053E">
        <w:rPr>
          <w:rFonts w:ascii="Times New Roman" w:hAnsi="Times New Roman"/>
          <w:i/>
          <w:sz w:val="24"/>
          <w:szCs w:val="24"/>
        </w:rPr>
        <w:t xml:space="preserve"> do </w:t>
      </w:r>
      <w:proofErr w:type="spellStart"/>
      <w:r w:rsidR="00AF33F0" w:rsidRPr="009C053E">
        <w:rPr>
          <w:rFonts w:ascii="Times New Roman" w:hAnsi="Times New Roman"/>
          <w:i/>
          <w:sz w:val="24"/>
          <w:szCs w:val="24"/>
        </w:rPr>
        <w:t>Quỹ</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không</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có</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chỉ</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số</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tham</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chiếu</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danh</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mục</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tham</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chiếu</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cụ</w:t>
      </w:r>
      <w:proofErr w:type="spellEnd"/>
      <w:r w:rsidR="00AF33F0" w:rsidRPr="009C053E">
        <w:rPr>
          <w:rFonts w:ascii="Times New Roman" w:hAnsi="Times New Roman"/>
          <w:i/>
          <w:sz w:val="24"/>
          <w:szCs w:val="24"/>
        </w:rPr>
        <w:t xml:space="preserve"> </w:t>
      </w:r>
      <w:proofErr w:type="spellStart"/>
      <w:r w:rsidR="00AF33F0" w:rsidRPr="009C053E">
        <w:rPr>
          <w:rFonts w:ascii="Times New Roman" w:hAnsi="Times New Roman"/>
          <w:i/>
          <w:sz w:val="24"/>
          <w:szCs w:val="24"/>
        </w:rPr>
        <w:t>thể</w:t>
      </w:r>
      <w:proofErr w:type="spellEnd"/>
      <w:r w:rsidR="00433D7C" w:rsidRPr="009C053E">
        <w:rPr>
          <w:rFonts w:ascii="Times New Roman" w:hAnsi="Times New Roman"/>
          <w:i/>
          <w:sz w:val="24"/>
          <w:szCs w:val="24"/>
        </w:rPr>
        <w:t xml:space="preserve"> </w:t>
      </w:r>
      <w:r w:rsidR="00AA2CB5" w:rsidRPr="009C053E">
        <w:rPr>
          <w:rFonts w:ascii="Times New Roman" w:hAnsi="Times New Roman"/>
          <w:i/>
          <w:sz w:val="24"/>
          <w:szCs w:val="24"/>
        </w:rPr>
        <w:t xml:space="preserve"> </w:t>
      </w:r>
    </w:p>
    <w:p w14:paraId="0B5C120F" w14:textId="77777777" w:rsidR="00100534" w:rsidRPr="00D8620E" w:rsidRDefault="00100534" w:rsidP="00835733">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9C053E">
        <w:rPr>
          <w:rFonts w:ascii="Times New Roman" w:hAnsi="Times New Roman"/>
          <w:sz w:val="24"/>
          <w:szCs w:val="24"/>
        </w:rPr>
        <w:t xml:space="preserve">e) </w:t>
      </w:r>
      <w:proofErr w:type="spellStart"/>
      <w:r w:rsidRPr="009C053E">
        <w:rPr>
          <w:rFonts w:ascii="Times New Roman" w:hAnsi="Times New Roman"/>
          <w:sz w:val="24"/>
          <w:szCs w:val="24"/>
        </w:rPr>
        <w:t>Mô</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tả</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lược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thuật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đầu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tư</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mà</w:t>
      </w:r>
      <w:proofErr w:type="spellEnd"/>
      <w:r w:rsidRPr="009C053E">
        <w:rPr>
          <w:rFonts w:ascii="Times New Roman" w:hAnsi="Times New Roman"/>
          <w:sz w:val="24"/>
          <w:szCs w:val="24"/>
        </w:rPr>
        <w:t xml:space="preserve"> </w:t>
      </w:r>
      <w:proofErr w:type="spellStart"/>
      <w:r w:rsidR="00BC38CC" w:rsidRPr="009C053E">
        <w:rPr>
          <w:rFonts w:ascii="Times New Roman" w:hAnsi="Times New Roman"/>
          <w:sz w:val="24"/>
          <w:szCs w:val="24"/>
        </w:rPr>
        <w:t>Q</w:t>
      </w:r>
      <w:r w:rsidRPr="009C053E">
        <w:rPr>
          <w:rFonts w:ascii="Times New Roman" w:hAnsi="Times New Roman"/>
          <w:sz w:val="24"/>
          <w:szCs w:val="24"/>
        </w:rPr>
        <w:t>uỹ</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đã</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sử</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dụng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trong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kỳ</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Trường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hợp</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có</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sự</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khác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biệt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giữa</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lược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thuật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đầu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tư</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thực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hiện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trong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kỳ</w:t>
      </w:r>
      <w:proofErr w:type="spellEnd"/>
      <w:r w:rsidRPr="009C053E">
        <w:rPr>
          <w:rFonts w:ascii="Times New Roman" w:hAnsi="Times New Roman"/>
          <w:sz w:val="24"/>
          <w:szCs w:val="24"/>
        </w:rPr>
        <w:t xml:space="preserve"> so </w:t>
      </w:r>
      <w:proofErr w:type="spellStart"/>
      <w:r w:rsidRPr="009C053E">
        <w:rPr>
          <w:rFonts w:ascii="Times New Roman" w:hAnsi="Times New Roman"/>
          <w:sz w:val="24"/>
          <w:szCs w:val="24"/>
        </w:rPr>
        <w:t>với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lược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thuật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đầu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lastRenderedPageBreak/>
        <w:t>tư</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đã</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công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bố</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tại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Bản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cáo</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bạch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thì</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phải</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bổ</w:t>
      </w:r>
      <w:proofErr w:type="spellEnd"/>
      <w:r w:rsidRPr="009C053E">
        <w:rPr>
          <w:rFonts w:ascii="Times New Roman" w:hAnsi="Times New Roman"/>
          <w:sz w:val="24"/>
          <w:szCs w:val="24"/>
        </w:rPr>
        <w:t xml:space="preserve"> sung </w:t>
      </w:r>
      <w:proofErr w:type="spellStart"/>
      <w:r w:rsidRPr="009C053E">
        <w:rPr>
          <w:rFonts w:ascii="Times New Roman" w:hAnsi="Times New Roman"/>
          <w:sz w:val="24"/>
          <w:szCs w:val="24"/>
        </w:rPr>
        <w:t>thuyết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minh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và</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đánh</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giá</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ưu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nhược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điểm</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của</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lược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chiến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thuật</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đầu</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tư</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đã</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thực</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hiện</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trong</w:t>
      </w:r>
      <w:proofErr w:type="spellEnd"/>
      <w:r w:rsidRPr="009C053E">
        <w:rPr>
          <w:rFonts w:ascii="Times New Roman" w:hAnsi="Times New Roman"/>
          <w:sz w:val="24"/>
          <w:szCs w:val="24"/>
        </w:rPr>
        <w:t xml:space="preserve"> </w:t>
      </w:r>
      <w:proofErr w:type="spellStart"/>
      <w:r w:rsidRPr="009C053E">
        <w:rPr>
          <w:rFonts w:ascii="Times New Roman" w:hAnsi="Times New Roman"/>
          <w:sz w:val="24"/>
          <w:szCs w:val="24"/>
        </w:rPr>
        <w:t>kỳ</w:t>
      </w:r>
      <w:proofErr w:type="spellEnd"/>
      <w:r w:rsidRPr="009C053E">
        <w:rPr>
          <w:rFonts w:ascii="Times New Roman" w:hAnsi="Times New Roman"/>
          <w:sz w:val="24"/>
          <w:szCs w:val="24"/>
        </w:rPr>
        <w:t>;</w:t>
      </w:r>
    </w:p>
    <w:p w14:paraId="662D8577" w14:textId="77777777" w:rsidR="00AA2CB5" w:rsidRPr="00D8620E"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đúng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dạng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bao </w:t>
      </w:r>
      <w:proofErr w:type="spellStart"/>
      <w:r w:rsidRPr="00D8620E">
        <w:rPr>
          <w:rFonts w:ascii="Times New Roman" w:hAnsi="Times New Roman"/>
          <w:sz w:val="24"/>
          <w:szCs w:val="24"/>
        </w:rPr>
        <w:t>gồm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lớn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Thị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Việt</w:t>
      </w:r>
      <w:proofErr w:type="spellEnd"/>
      <w:r w:rsidRPr="00D8620E">
        <w:rPr>
          <w:rFonts w:ascii="Times New Roman" w:hAnsi="Times New Roman"/>
          <w:sz w:val="24"/>
          <w:szCs w:val="24"/>
        </w:rPr>
        <w:t xml:space="preserve"> Nam.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chọn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tích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
    <w:p w14:paraId="7B661306" w14:textId="77777777" w:rsidR="00AA2CB5" w:rsidRPr="00D8620E"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chọn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như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sau</w:t>
      </w:r>
      <w:proofErr w:type="spellEnd"/>
      <w:r w:rsidRPr="00D8620E">
        <w:rPr>
          <w:rFonts w:ascii="Times New Roman" w:hAnsi="Times New Roman"/>
          <w:sz w:val="24"/>
          <w:szCs w:val="24"/>
        </w:rPr>
        <w:t>:</w:t>
      </w:r>
    </w:p>
    <w:p w14:paraId="15F4C37F" w14:textId="77777777" w:rsidR="00AA2CB5" w:rsidRPr="00D8620E" w:rsidRDefault="00AA2CB5" w:rsidP="00835733">
      <w:pPr>
        <w:pStyle w:val="NoSpacing"/>
        <w:numPr>
          <w:ilvl w:val="0"/>
          <w:numId w:val="24"/>
        </w:numPr>
        <w:spacing w:before="120" w:after="120" w:line="276" w:lineRule="auto"/>
        <w:jc w:val="both"/>
        <w:rPr>
          <w:rFonts w:ascii="Times New Roman" w:hAnsi="Times New Roman" w:cs="Times New Roman"/>
          <w:sz w:val="24"/>
          <w:szCs w:val="24"/>
        </w:rPr>
      </w:pPr>
      <w:proofErr w:type="spellStart"/>
      <w:r w:rsidRPr="00D8620E">
        <w:rPr>
          <w:rFonts w:ascii="Times New Roman" w:hAnsi="Times New Roman" w:cs="Times New Roman"/>
          <w:sz w:val="24"/>
          <w:szCs w:val="24"/>
        </w:rPr>
        <w:t>Là</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công</w:t>
      </w:r>
      <w:proofErr w:type="spellEnd"/>
      <w:r w:rsidRPr="00D8620E">
        <w:rPr>
          <w:rFonts w:ascii="Times New Roman" w:hAnsi="Times New Roman" w:cs="Times New Roman"/>
          <w:sz w:val="24"/>
          <w:szCs w:val="24"/>
        </w:rPr>
        <w:t xml:space="preserve"> ty </w:t>
      </w:r>
      <w:proofErr w:type="spellStart"/>
      <w:r w:rsidRPr="00D8620E">
        <w:rPr>
          <w:rFonts w:ascii="Times New Roman" w:hAnsi="Times New Roman" w:cs="Times New Roman"/>
          <w:sz w:val="24"/>
          <w:szCs w:val="24"/>
        </w:rPr>
        <w:t>trong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nhóm</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dẫn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đầu</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ngành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nghề</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kinh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doanh</w:t>
      </w:r>
      <w:proofErr w:type="spellEnd"/>
    </w:p>
    <w:p w14:paraId="69FC8B6B" w14:textId="77777777" w:rsidR="00AA2CB5" w:rsidRPr="00D8620E" w:rsidRDefault="00AA2CB5" w:rsidP="00835733">
      <w:pPr>
        <w:pStyle w:val="NoSpacing"/>
        <w:numPr>
          <w:ilvl w:val="0"/>
          <w:numId w:val="24"/>
        </w:numPr>
        <w:spacing w:before="120" w:after="120" w:line="276" w:lineRule="auto"/>
        <w:jc w:val="both"/>
        <w:rPr>
          <w:rFonts w:ascii="Times New Roman" w:hAnsi="Times New Roman" w:cs="Times New Roman"/>
          <w:sz w:val="24"/>
          <w:szCs w:val="24"/>
        </w:rPr>
      </w:pPr>
      <w:proofErr w:type="spellStart"/>
      <w:r w:rsidRPr="00D8620E">
        <w:rPr>
          <w:rFonts w:ascii="Times New Roman" w:hAnsi="Times New Roman" w:cs="Times New Roman"/>
          <w:sz w:val="24"/>
          <w:szCs w:val="24"/>
        </w:rPr>
        <w:t>Có</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tình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trạng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tài</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chính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lành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mạnh</w:t>
      </w:r>
      <w:proofErr w:type="spellEnd"/>
    </w:p>
    <w:p w14:paraId="187D6F20" w14:textId="77777777" w:rsidR="00AA2CB5" w:rsidRPr="00D8620E" w:rsidRDefault="00AA2CB5" w:rsidP="00835733">
      <w:pPr>
        <w:pStyle w:val="NoSpacing"/>
        <w:numPr>
          <w:ilvl w:val="0"/>
          <w:numId w:val="24"/>
        </w:numPr>
        <w:spacing w:before="120" w:after="120" w:line="276" w:lineRule="auto"/>
        <w:jc w:val="both"/>
        <w:rPr>
          <w:rFonts w:ascii="Times New Roman" w:hAnsi="Times New Roman" w:cs="Times New Roman"/>
          <w:sz w:val="24"/>
          <w:szCs w:val="24"/>
        </w:rPr>
      </w:pPr>
      <w:proofErr w:type="spellStart"/>
      <w:r w:rsidRPr="00D8620E">
        <w:rPr>
          <w:rFonts w:ascii="Times New Roman" w:hAnsi="Times New Roman" w:cs="Times New Roman"/>
          <w:sz w:val="24"/>
          <w:szCs w:val="24"/>
        </w:rPr>
        <w:t>Có</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dòng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tiền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ổn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định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chất</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lượng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tài</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sản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tốt</w:t>
      </w:r>
      <w:proofErr w:type="spellEnd"/>
    </w:p>
    <w:p w14:paraId="1F1CDDA4" w14:textId="77777777" w:rsidR="00AA2CB5" w:rsidRPr="00D8620E" w:rsidRDefault="00AA2CB5" w:rsidP="00835733">
      <w:pPr>
        <w:pStyle w:val="NoSpacing"/>
        <w:numPr>
          <w:ilvl w:val="0"/>
          <w:numId w:val="24"/>
        </w:numPr>
        <w:spacing w:before="120" w:after="120" w:line="276" w:lineRule="auto"/>
        <w:jc w:val="both"/>
        <w:rPr>
          <w:rFonts w:ascii="Times New Roman" w:hAnsi="Times New Roman" w:cs="Times New Roman"/>
          <w:sz w:val="24"/>
          <w:szCs w:val="24"/>
        </w:rPr>
      </w:pPr>
      <w:proofErr w:type="spellStart"/>
      <w:r w:rsidRPr="00D8620E">
        <w:rPr>
          <w:rFonts w:ascii="Times New Roman" w:hAnsi="Times New Roman" w:cs="Times New Roman"/>
          <w:sz w:val="24"/>
          <w:szCs w:val="24"/>
        </w:rPr>
        <w:t>Có</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hệ</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thống</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quản</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trị</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doanh</w:t>
      </w:r>
      <w:proofErr w:type="spellEnd"/>
      <w:r w:rsidRPr="00D8620E">
        <w:rPr>
          <w:rFonts w:ascii="Times New Roman" w:hAnsi="Times New Roman" w:cs="Times New Roman"/>
          <w:sz w:val="24"/>
          <w:szCs w:val="24"/>
        </w:rPr>
        <w:t xml:space="preserve"> </w:t>
      </w:r>
      <w:proofErr w:type="spellStart"/>
      <w:r w:rsidRPr="00D8620E">
        <w:rPr>
          <w:rFonts w:ascii="Times New Roman" w:hAnsi="Times New Roman" w:cs="Times New Roman"/>
          <w:sz w:val="24"/>
          <w:szCs w:val="24"/>
        </w:rPr>
        <w:t>nghiệp</w:t>
      </w:r>
      <w:proofErr w:type="spellEnd"/>
      <w:r w:rsidRPr="00D8620E">
        <w:rPr>
          <w:rFonts w:ascii="Times New Roman" w:hAnsi="Times New Roman" w:cs="Times New Roman"/>
          <w:sz w:val="24"/>
          <w:szCs w:val="24"/>
        </w:rPr>
        <w:t xml:space="preserve"> tin </w:t>
      </w:r>
      <w:proofErr w:type="spellStart"/>
      <w:r w:rsidRPr="00D8620E">
        <w:rPr>
          <w:rFonts w:ascii="Times New Roman" w:hAnsi="Times New Roman" w:cs="Times New Roman"/>
          <w:sz w:val="24"/>
          <w:szCs w:val="24"/>
        </w:rPr>
        <w:t>cậy</w:t>
      </w:r>
      <w:proofErr w:type="spellEnd"/>
      <w:r w:rsidRPr="00D8620E">
        <w:rPr>
          <w:rFonts w:ascii="Times New Roman" w:hAnsi="Times New Roman" w:cs="Times New Roman"/>
          <w:sz w:val="24"/>
          <w:szCs w:val="24"/>
        </w:rPr>
        <w:t>.</w:t>
      </w:r>
    </w:p>
    <w:p w14:paraId="316FAD34" w14:textId="77777777" w:rsidR="00AA2CB5" w:rsidRPr="00D8620E"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Lĩnh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DFVN-CAF </w:t>
      </w:r>
      <w:proofErr w:type="spellStart"/>
      <w:r w:rsidRPr="00D8620E">
        <w:rPr>
          <w:rFonts w:ascii="Times New Roman" w:hAnsi="Times New Roman"/>
          <w:sz w:val="24"/>
          <w:szCs w:val="24"/>
        </w:rPr>
        <w:t>tập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trung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Giao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00835733">
        <w:rPr>
          <w:rFonts w:ascii="Times New Roman" w:hAnsi="Times New Roman"/>
          <w:sz w:val="24"/>
          <w:szCs w:val="24"/>
        </w:rPr>
        <w:t>.</w:t>
      </w:r>
    </w:p>
    <w:p w14:paraId="52780338" w14:textId="77777777" w:rsidR="006D7719" w:rsidRPr="009C053E" w:rsidRDefault="00100534" w:rsidP="006D7719">
      <w:pPr>
        <w:pStyle w:val="ListParagraph"/>
        <w:tabs>
          <w:tab w:val="left" w:pos="270"/>
          <w:tab w:val="left" w:pos="1134"/>
        </w:tabs>
        <w:spacing w:before="120" w:after="120" w:line="300" w:lineRule="auto"/>
        <w:ind w:left="0"/>
        <w:contextualSpacing w:val="0"/>
        <w:jc w:val="both"/>
        <w:rPr>
          <w:rFonts w:ascii="Times New Roman" w:hAnsi="Times New Roman"/>
          <w:i/>
          <w:sz w:val="24"/>
          <w:szCs w:val="24"/>
        </w:rPr>
      </w:pPr>
      <w:r w:rsidRPr="009C053E">
        <w:rPr>
          <w:rFonts w:ascii="Times New Roman" w:hAnsi="Times New Roman"/>
          <w:sz w:val="24"/>
          <w:szCs w:val="24"/>
        </w:rPr>
        <w:t xml:space="preserve">f) </w:t>
      </w:r>
      <w:proofErr w:type="spellStart"/>
      <w:r w:rsidR="006D7719" w:rsidRPr="009C053E">
        <w:rPr>
          <w:rFonts w:ascii="Times New Roman" w:hAnsi="Times New Roman"/>
          <w:sz w:val="24"/>
          <w:szCs w:val="24"/>
        </w:rPr>
        <w:t>Mô</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tả</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sự</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khác</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biệt</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về</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cơ</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cấu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danh</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mục</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đầu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tư</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của</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Quỹ</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tại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thời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điểm</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báo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cáo</w:t>
      </w:r>
      <w:proofErr w:type="spellEnd"/>
      <w:r w:rsidR="006D7719" w:rsidRPr="009C053E">
        <w:rPr>
          <w:rFonts w:ascii="Times New Roman" w:hAnsi="Times New Roman"/>
          <w:sz w:val="24"/>
          <w:szCs w:val="24"/>
        </w:rPr>
        <w:t xml:space="preserve">, so </w:t>
      </w:r>
      <w:proofErr w:type="spellStart"/>
      <w:r w:rsidR="006D7719" w:rsidRPr="009C053E">
        <w:rPr>
          <w:rFonts w:ascii="Times New Roman" w:hAnsi="Times New Roman"/>
          <w:sz w:val="24"/>
          <w:szCs w:val="24"/>
        </w:rPr>
        <w:t>với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danh</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mục</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đầu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tư</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của</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Quỹ</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năm</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liền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kề</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năm</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báo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cáo</w:t>
      </w:r>
      <w:proofErr w:type="spellEnd"/>
      <w:r w:rsidR="006D7719" w:rsidRPr="009C053E">
        <w:rPr>
          <w:rFonts w:ascii="Times New Roman" w:hAnsi="Times New Roman"/>
          <w:sz w:val="24"/>
          <w:szCs w:val="24"/>
        </w:rPr>
        <w:t xml:space="preserve">: </w:t>
      </w:r>
    </w:p>
    <w:p w14:paraId="24546874" w14:textId="3D247DBA" w:rsidR="00100534" w:rsidRPr="006D7719" w:rsidRDefault="006D7719"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31753A">
        <w:rPr>
          <w:rFonts w:ascii="Times New Roman" w:hAnsi="Times New Roman"/>
          <w:sz w:val="24"/>
          <w:szCs w:val="24"/>
        </w:rPr>
        <w:t>Không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có</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sự</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thay</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đổi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khác</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biệt</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trong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cơ</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cấu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danh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mục</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đầu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tư</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của</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Quỹ</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tại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thời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điểm</w:t>
      </w:r>
      <w:proofErr w:type="spellEnd"/>
      <w:r w:rsidRPr="0031753A">
        <w:rPr>
          <w:rFonts w:ascii="Times New Roman" w:hAnsi="Times New Roman"/>
          <w:sz w:val="24"/>
          <w:szCs w:val="24"/>
        </w:rPr>
        <w:t xml:space="preserve"> 31/12/2020 so </w:t>
      </w:r>
      <w:proofErr w:type="spellStart"/>
      <w:r w:rsidRPr="0031753A">
        <w:rPr>
          <w:rFonts w:ascii="Times New Roman" w:hAnsi="Times New Roman"/>
          <w:sz w:val="24"/>
          <w:szCs w:val="24"/>
        </w:rPr>
        <w:t>với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thời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điểm</w:t>
      </w:r>
      <w:proofErr w:type="spellEnd"/>
      <w:r w:rsidRPr="0031753A">
        <w:rPr>
          <w:rFonts w:ascii="Times New Roman" w:hAnsi="Times New Roman"/>
          <w:sz w:val="24"/>
          <w:szCs w:val="24"/>
        </w:rPr>
        <w:t xml:space="preserve"> 31/12/2019. Trong </w:t>
      </w:r>
      <w:proofErr w:type="spellStart"/>
      <w:r w:rsidRPr="0031753A">
        <w:rPr>
          <w:rFonts w:ascii="Times New Roman" w:hAnsi="Times New Roman"/>
          <w:sz w:val="24"/>
          <w:szCs w:val="24"/>
        </w:rPr>
        <w:t>năm</w:t>
      </w:r>
      <w:proofErr w:type="spellEnd"/>
      <w:r w:rsidRPr="0031753A">
        <w:rPr>
          <w:rFonts w:ascii="Times New Roman" w:hAnsi="Times New Roman"/>
          <w:sz w:val="24"/>
          <w:szCs w:val="24"/>
        </w:rPr>
        <w:t xml:space="preserve"> 2020, </w:t>
      </w:r>
      <w:proofErr w:type="spellStart"/>
      <w:r w:rsidRPr="0031753A">
        <w:rPr>
          <w:rFonts w:ascii="Times New Roman" w:hAnsi="Times New Roman"/>
          <w:sz w:val="24"/>
          <w:szCs w:val="24"/>
        </w:rPr>
        <w:t>danh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mục</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đầu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tư</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của</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Quỹ</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đã</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có</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sự</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thay</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đổi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nhỏ</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trong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cơ</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cấu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phân</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bổ</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theo</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ngành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nắm</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giữ</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nhằm</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giảm</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thiểu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tác</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động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của</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biến</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cố</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dịch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bệnh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đồng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thời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tận</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dụng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tối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ưu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đà</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phục</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hồi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của</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các</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ngành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hưởng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lợi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tương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ứng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Cụ</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thể</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Quỹ</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đã</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điều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chỉnh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tăng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nhẹ</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tỷ</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trọng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nắm</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giữ</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các</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ngành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Hàng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tiêu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dùng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cơ</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bản</w:t>
      </w:r>
      <w:proofErr w:type="spellEnd"/>
      <w:r w:rsidRPr="0031753A">
        <w:rPr>
          <w:rFonts w:ascii="Times New Roman" w:hAnsi="Times New Roman"/>
          <w:sz w:val="24"/>
          <w:szCs w:val="24"/>
        </w:rPr>
        <w:t xml:space="preserve"> (+2,5%), </w:t>
      </w:r>
      <w:proofErr w:type="spellStart"/>
      <w:r w:rsidRPr="0031753A">
        <w:rPr>
          <w:rFonts w:ascii="Times New Roman" w:hAnsi="Times New Roman"/>
          <w:sz w:val="24"/>
          <w:szCs w:val="24"/>
        </w:rPr>
        <w:t>Công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nghiệp</w:t>
      </w:r>
      <w:proofErr w:type="spellEnd"/>
      <w:r w:rsidRPr="0031753A">
        <w:rPr>
          <w:rFonts w:ascii="Times New Roman" w:hAnsi="Times New Roman"/>
          <w:sz w:val="24"/>
          <w:szCs w:val="24"/>
        </w:rPr>
        <w:t xml:space="preserve"> (+2,3%), </w:t>
      </w:r>
      <w:proofErr w:type="spellStart"/>
      <w:r w:rsidRPr="0031753A">
        <w:rPr>
          <w:rFonts w:ascii="Times New Roman" w:hAnsi="Times New Roman"/>
          <w:sz w:val="24"/>
          <w:szCs w:val="24"/>
        </w:rPr>
        <w:t>Vật</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liệu</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xây</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dựng</w:t>
      </w:r>
      <w:proofErr w:type="spellEnd"/>
      <w:r w:rsidRPr="0031753A">
        <w:rPr>
          <w:rFonts w:ascii="Times New Roman" w:hAnsi="Times New Roman"/>
          <w:sz w:val="24"/>
          <w:szCs w:val="24"/>
        </w:rPr>
        <w:t xml:space="preserve"> (+3,2%); </w:t>
      </w:r>
      <w:proofErr w:type="spellStart"/>
      <w:r w:rsidRPr="0031753A">
        <w:rPr>
          <w:rFonts w:ascii="Times New Roman" w:hAnsi="Times New Roman"/>
          <w:sz w:val="24"/>
          <w:szCs w:val="24"/>
        </w:rPr>
        <w:t>trong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khi</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giảm</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nhẹ</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tỷ</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trọng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nắm</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giữ</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ngành</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Bất</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động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sản</w:t>
      </w:r>
      <w:proofErr w:type="spellEnd"/>
      <w:r w:rsidRPr="0031753A">
        <w:rPr>
          <w:rFonts w:ascii="Times New Roman" w:hAnsi="Times New Roman"/>
          <w:sz w:val="24"/>
          <w:szCs w:val="24"/>
        </w:rPr>
        <w:t xml:space="preserve"> (-2,6%) </w:t>
      </w:r>
      <w:proofErr w:type="spellStart"/>
      <w:r w:rsidRPr="0031753A">
        <w:rPr>
          <w:rFonts w:ascii="Times New Roman" w:hAnsi="Times New Roman"/>
          <w:sz w:val="24"/>
          <w:szCs w:val="24"/>
        </w:rPr>
        <w:t>và</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Bán</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lẻ</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không</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thiết</w:t>
      </w:r>
      <w:proofErr w:type="spellEnd"/>
      <w:r w:rsidRPr="0031753A">
        <w:rPr>
          <w:rFonts w:ascii="Times New Roman" w:hAnsi="Times New Roman"/>
          <w:sz w:val="24"/>
          <w:szCs w:val="24"/>
        </w:rPr>
        <w:t xml:space="preserve"> </w:t>
      </w:r>
      <w:proofErr w:type="spellStart"/>
      <w:r w:rsidRPr="0031753A">
        <w:rPr>
          <w:rFonts w:ascii="Times New Roman" w:hAnsi="Times New Roman"/>
          <w:sz w:val="24"/>
          <w:szCs w:val="24"/>
        </w:rPr>
        <w:t>yếu</w:t>
      </w:r>
      <w:proofErr w:type="spellEnd"/>
      <w:r w:rsidRPr="0031753A">
        <w:rPr>
          <w:rFonts w:ascii="Times New Roman" w:hAnsi="Times New Roman"/>
          <w:sz w:val="24"/>
          <w:szCs w:val="24"/>
        </w:rPr>
        <w:t xml:space="preserve"> (-3,6%).</w:t>
      </w:r>
    </w:p>
    <w:p w14:paraId="3BCE3342" w14:textId="77777777" w:rsidR="006D7719" w:rsidRPr="009C053E" w:rsidRDefault="00100534"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9C053E">
        <w:rPr>
          <w:rFonts w:ascii="Times New Roman" w:hAnsi="Times New Roman"/>
          <w:sz w:val="24"/>
          <w:szCs w:val="24"/>
        </w:rPr>
        <w:t xml:space="preserve">g) </w:t>
      </w:r>
      <w:proofErr w:type="spellStart"/>
      <w:r w:rsidR="006D7719" w:rsidRPr="009C053E">
        <w:rPr>
          <w:rFonts w:ascii="Times New Roman" w:hAnsi="Times New Roman"/>
          <w:sz w:val="24"/>
          <w:szCs w:val="24"/>
        </w:rPr>
        <w:t>Phân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tích</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kết</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quả</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hoạt</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động</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của</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Quỹ</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dựa</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trên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việc</w:t>
      </w:r>
      <w:proofErr w:type="spellEnd"/>
      <w:r w:rsidR="006D7719" w:rsidRPr="009C053E">
        <w:rPr>
          <w:rFonts w:ascii="Times New Roman" w:hAnsi="Times New Roman"/>
          <w:sz w:val="24"/>
          <w:szCs w:val="24"/>
        </w:rPr>
        <w:t xml:space="preserve"> so </w:t>
      </w:r>
      <w:proofErr w:type="spellStart"/>
      <w:r w:rsidR="006D7719" w:rsidRPr="009C053E">
        <w:rPr>
          <w:rFonts w:ascii="Times New Roman" w:hAnsi="Times New Roman"/>
          <w:sz w:val="24"/>
          <w:szCs w:val="24"/>
        </w:rPr>
        <w:t>sánh</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giá</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trị</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tài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sản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ròng</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trên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một</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đơn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vị</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Quỹ</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sau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khi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đã</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điều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chỉnh</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phần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lợi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nhuận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đã</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phân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phối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nếu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có</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tại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kỳ</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báo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cáo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này</w:t>
      </w:r>
      <w:proofErr w:type="spellEnd"/>
      <w:r w:rsidR="006D7719" w:rsidRPr="009C053E">
        <w:rPr>
          <w:rFonts w:ascii="Times New Roman" w:hAnsi="Times New Roman"/>
          <w:sz w:val="24"/>
          <w:szCs w:val="24"/>
        </w:rPr>
        <w:t xml:space="preserve"> so </w:t>
      </w:r>
      <w:proofErr w:type="spellStart"/>
      <w:r w:rsidR="006D7719" w:rsidRPr="009C053E">
        <w:rPr>
          <w:rFonts w:ascii="Times New Roman" w:hAnsi="Times New Roman"/>
          <w:sz w:val="24"/>
          <w:szCs w:val="24"/>
        </w:rPr>
        <w:t>với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kỳ</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báo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cáo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gần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nhất</w:t>
      </w:r>
      <w:proofErr w:type="spellEnd"/>
      <w:r w:rsidR="006D7719" w:rsidRPr="009C053E">
        <w:rPr>
          <w:rFonts w:ascii="Times New Roman" w:hAnsi="Times New Roman"/>
          <w:sz w:val="24"/>
          <w:szCs w:val="24"/>
        </w:rPr>
        <w:t xml:space="preserve">: </w:t>
      </w:r>
    </w:p>
    <w:p w14:paraId="70914F61" w14:textId="77777777" w:rsidR="006D7719" w:rsidRDefault="006D7719"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proofErr w:type="spellStart"/>
      <w:r>
        <w:rPr>
          <w:rFonts w:ascii="Times New Roman" w:eastAsia="Times New Roman" w:hAnsi="Times New Roman"/>
          <w:color w:val="000000"/>
          <w:sz w:val="24"/>
          <w:szCs w:val="24"/>
        </w:rPr>
        <w:t>Giá</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trị</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tài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sản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ròng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trên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một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đơn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vị</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Quỹ</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tại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thời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điểm</w:t>
      </w:r>
      <w:proofErr w:type="spellEnd"/>
      <w:r>
        <w:rPr>
          <w:rFonts w:ascii="Times New Roman" w:eastAsia="Times New Roman" w:hAnsi="Times New Roman"/>
          <w:color w:val="000000"/>
          <w:sz w:val="24"/>
          <w:szCs w:val="24"/>
        </w:rPr>
        <w:t xml:space="preserve"> 31/12/2020 </w:t>
      </w:r>
      <w:proofErr w:type="spellStart"/>
      <w:r>
        <w:rPr>
          <w:rFonts w:ascii="Times New Roman" w:eastAsia="Times New Roman" w:hAnsi="Times New Roman"/>
          <w:color w:val="000000"/>
          <w:sz w:val="24"/>
          <w:szCs w:val="24"/>
        </w:rPr>
        <w:t>đạt</w:t>
      </w:r>
      <w:proofErr w:type="spellEnd"/>
      <w:r>
        <w:rPr>
          <w:rFonts w:ascii="Times New Roman" w:eastAsia="Times New Roman" w:hAnsi="Times New Roman"/>
          <w:color w:val="000000"/>
          <w:sz w:val="24"/>
          <w:szCs w:val="24"/>
        </w:rPr>
        <w:t xml:space="preserve"> 12.627,67 </w:t>
      </w:r>
      <w:proofErr w:type="spellStart"/>
      <w:r>
        <w:rPr>
          <w:rFonts w:ascii="Times New Roman" w:eastAsia="Times New Roman" w:hAnsi="Times New Roman"/>
          <w:color w:val="000000"/>
          <w:sz w:val="24"/>
          <w:szCs w:val="24"/>
        </w:rPr>
        <w:t>cao</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hơn</w:t>
      </w:r>
      <w:proofErr w:type="spellEnd"/>
      <w:r>
        <w:rPr>
          <w:rFonts w:ascii="Times New Roman" w:eastAsia="Times New Roman" w:hAnsi="Times New Roman"/>
          <w:color w:val="000000"/>
          <w:sz w:val="24"/>
          <w:szCs w:val="24"/>
        </w:rPr>
        <w:t xml:space="preserve"> 20,98% so </w:t>
      </w:r>
      <w:proofErr w:type="spellStart"/>
      <w:r>
        <w:rPr>
          <w:rFonts w:ascii="Times New Roman" w:eastAsia="Times New Roman" w:hAnsi="Times New Roman"/>
          <w:color w:val="000000"/>
          <w:sz w:val="24"/>
          <w:szCs w:val="24"/>
        </w:rPr>
        <w:t>với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giá</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trị</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tại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thời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điểm</w:t>
      </w:r>
      <w:proofErr w:type="spellEnd"/>
      <w:r>
        <w:rPr>
          <w:rFonts w:ascii="Times New Roman" w:eastAsia="Times New Roman" w:hAnsi="Times New Roman"/>
          <w:color w:val="000000"/>
          <w:sz w:val="24"/>
          <w:szCs w:val="24"/>
        </w:rPr>
        <w:t xml:space="preserve"> 31/12/2019 </w:t>
      </w:r>
      <w:proofErr w:type="spellStart"/>
      <w:r>
        <w:rPr>
          <w:rFonts w:ascii="Times New Roman" w:eastAsia="Times New Roman" w:hAnsi="Times New Roman"/>
          <w:color w:val="000000"/>
          <w:sz w:val="24"/>
          <w:szCs w:val="24"/>
        </w:rPr>
        <w:t>là</w:t>
      </w:r>
      <w:proofErr w:type="spellEnd"/>
      <w:r>
        <w:rPr>
          <w:rFonts w:ascii="Times New Roman" w:eastAsia="Times New Roman" w:hAnsi="Times New Roman"/>
          <w:color w:val="000000"/>
          <w:sz w:val="24"/>
          <w:szCs w:val="24"/>
        </w:rPr>
        <w:t xml:space="preserve"> </w:t>
      </w:r>
      <w:r w:rsidRPr="00D8620E">
        <w:rPr>
          <w:rFonts w:ascii="Times New Roman" w:eastAsia="Times New Roman" w:hAnsi="Times New Roman"/>
          <w:color w:val="000000"/>
          <w:sz w:val="24"/>
          <w:szCs w:val="24"/>
        </w:rPr>
        <w:t>10.438,11</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Mức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tăng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trưởng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này</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phản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ánh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đà</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phục</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hồi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mạnh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mẽ</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của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thị</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trường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chứng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khoán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Việt</w:t>
      </w:r>
      <w:proofErr w:type="spellEnd"/>
      <w:r>
        <w:rPr>
          <w:rFonts w:ascii="Times New Roman" w:eastAsia="Times New Roman" w:hAnsi="Times New Roman"/>
          <w:color w:val="000000"/>
          <w:sz w:val="24"/>
          <w:szCs w:val="24"/>
        </w:rPr>
        <w:t xml:space="preserve"> Nam </w:t>
      </w:r>
      <w:proofErr w:type="spellStart"/>
      <w:r>
        <w:rPr>
          <w:rFonts w:ascii="Times New Roman" w:eastAsia="Times New Roman" w:hAnsi="Times New Roman"/>
          <w:color w:val="000000"/>
          <w:sz w:val="24"/>
          <w:szCs w:val="24"/>
        </w:rPr>
        <w:t>sau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giai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đoạn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đầu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bị</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ảnh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hưởng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bởi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tình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hình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dịch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bệnh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nghiêm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trọng</w:t>
      </w:r>
      <w:proofErr w:type="spellEnd"/>
      <w:r>
        <w:rPr>
          <w:rFonts w:ascii="Times New Roman" w:eastAsia="Times New Roman" w:hAnsi="Times New Roman"/>
          <w:color w:val="000000"/>
          <w:sz w:val="24"/>
          <w:szCs w:val="24"/>
        </w:rPr>
        <w:t xml:space="preserve">. </w:t>
      </w:r>
      <w:r w:rsidRPr="00F14111">
        <w:rPr>
          <w:rFonts w:ascii="Times New Roman" w:hAnsi="Times New Roman"/>
          <w:sz w:val="24"/>
          <w:szCs w:val="24"/>
          <w:lang w:val="nl-NL"/>
        </w:rPr>
        <w:t>Theo đó, khi dịch Covid-19 bắt đầu có những dấu hiệu đạt đỉnh, các chương trình giãn cách xã hội và hoạt động sản xuất kinh doanh thương mại sẽ được bắt đầu khởi động lại, nhiều giải pháp được Chính Phủ thực thi, niềm tin của nhà đầu tư trở lại thì thị trường chứng khoán sẽ nhanh chóng phục hồi và tăng trưởng trong dài hạn</w:t>
      </w:r>
      <w:r>
        <w:rPr>
          <w:rFonts w:ascii="Times New Roman" w:hAnsi="Times New Roman"/>
          <w:sz w:val="24"/>
          <w:szCs w:val="24"/>
          <w:lang w:val="nl-NL"/>
        </w:rPr>
        <w:t>.</w:t>
      </w:r>
    </w:p>
    <w:p w14:paraId="119F255E" w14:textId="77777777" w:rsidR="006D7719" w:rsidRDefault="006D7719"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highlight w:val="yellow"/>
        </w:rPr>
      </w:pPr>
      <w:r>
        <w:rPr>
          <w:rFonts w:ascii="Times New Roman" w:hAnsi="Times New Roman"/>
          <w:sz w:val="24"/>
          <w:szCs w:val="24"/>
          <w:lang w:val="nl-NL"/>
        </w:rPr>
        <w:lastRenderedPageBreak/>
        <w:t>Ngoài ra, Quỹ đạt được mức tăng trưởng vượt bật so với chỉ số VN-index nhờ vào các yếu tố như phân bổ ngành đầu tư hợp lý ví dụ nắm giữ vượt tỉ trọng ở các ngành có mức tăng trưởng tốt so với thị trường như ngành Tài chính, Vật liệu xây dựng, Công nghệ thông tin; hoặc ngược lại, chỉ nắm giữ một tỉ trọng thấp ở các ngành bị ảnh hưởng và có mức tăng trưởng không tốt so với thị trường như ngành Bất động sản hay ngành Tiện ích. Bên cạnh đó, lựa chọn cổ phiếu tăng trưởng tốt để nắm giữ cũng là một yếu tố tích cực cho hoạt động của Quỹ ví dụ như việc lựa chọn và nắm giữ các cổ phiếu Tài chính tăng mạnh (ACB, STB, VPB), Vật liệu (GVR, DPM)...vv.</w:t>
      </w:r>
    </w:p>
    <w:p w14:paraId="6B9FD2B0" w14:textId="77777777" w:rsidR="006D7719" w:rsidRPr="00D8620E" w:rsidRDefault="00100534"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9C053E">
        <w:rPr>
          <w:rFonts w:ascii="Times New Roman" w:hAnsi="Times New Roman"/>
          <w:sz w:val="24"/>
          <w:szCs w:val="24"/>
        </w:rPr>
        <w:t xml:space="preserve">h) </w:t>
      </w:r>
      <w:proofErr w:type="spellStart"/>
      <w:r w:rsidR="006D7719" w:rsidRPr="009C053E">
        <w:rPr>
          <w:rFonts w:ascii="Times New Roman" w:hAnsi="Times New Roman"/>
          <w:sz w:val="24"/>
          <w:szCs w:val="24"/>
        </w:rPr>
        <w:t>Đánh</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giá</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biến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động</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của</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các</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thị</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trường</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trong</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kỳ</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báo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cáo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kể</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cả</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thị</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trường</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nước</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ngoài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mà</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Quỹ</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đầu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tư</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vào</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thông</w:t>
      </w:r>
      <w:proofErr w:type="spellEnd"/>
      <w:r w:rsidR="006D7719" w:rsidRPr="009C053E">
        <w:rPr>
          <w:rFonts w:ascii="Times New Roman" w:hAnsi="Times New Roman"/>
          <w:sz w:val="24"/>
          <w:szCs w:val="24"/>
        </w:rPr>
        <w:t xml:space="preserve"> tin </w:t>
      </w:r>
      <w:proofErr w:type="spellStart"/>
      <w:r w:rsidR="006D7719" w:rsidRPr="009C053E">
        <w:rPr>
          <w:rFonts w:ascii="Times New Roman" w:hAnsi="Times New Roman"/>
          <w:sz w:val="24"/>
          <w:szCs w:val="24"/>
        </w:rPr>
        <w:t>về</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lợi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nhuận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đầu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tư</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đối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với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từng</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loại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tài</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sản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cổ</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phiếu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cổ</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phiếu</w:t>
      </w:r>
      <w:proofErr w:type="spellEnd"/>
      <w:r w:rsidR="006D7719" w:rsidRPr="009C053E">
        <w:rPr>
          <w:rFonts w:ascii="Times New Roman" w:hAnsi="Times New Roman"/>
          <w:sz w:val="24"/>
          <w:szCs w:val="24"/>
        </w:rPr>
        <w:t xml:space="preserve"> blue-chip, </w:t>
      </w:r>
      <w:proofErr w:type="spellStart"/>
      <w:r w:rsidR="006D7719" w:rsidRPr="009C053E">
        <w:rPr>
          <w:rFonts w:ascii="Times New Roman" w:hAnsi="Times New Roman"/>
          <w:sz w:val="24"/>
          <w:szCs w:val="24"/>
        </w:rPr>
        <w:t>cổ</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phiếu</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các</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công</w:t>
      </w:r>
      <w:proofErr w:type="spellEnd"/>
      <w:r w:rsidR="006D7719" w:rsidRPr="009C053E">
        <w:rPr>
          <w:rFonts w:ascii="Times New Roman" w:hAnsi="Times New Roman"/>
          <w:sz w:val="24"/>
          <w:szCs w:val="24"/>
        </w:rPr>
        <w:t xml:space="preserve"> ty </w:t>
      </w:r>
      <w:proofErr w:type="spellStart"/>
      <w:r w:rsidR="006D7719" w:rsidRPr="009C053E">
        <w:rPr>
          <w:rFonts w:ascii="Times New Roman" w:hAnsi="Times New Roman"/>
          <w:sz w:val="24"/>
          <w:szCs w:val="24"/>
        </w:rPr>
        <w:t>có</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mức</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vốn</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hóa</w:t>
      </w:r>
      <w:proofErr w:type="spellEnd"/>
      <w:r w:rsidR="006D7719" w:rsidRPr="009C053E">
        <w:rPr>
          <w:rFonts w:ascii="Times New Roman" w:hAnsi="Times New Roman"/>
          <w:sz w:val="24"/>
          <w:szCs w:val="24"/>
        </w:rPr>
        <w:t xml:space="preserve"> </w:t>
      </w:r>
      <w:proofErr w:type="spellStart"/>
      <w:r w:rsidR="006D7719" w:rsidRPr="009C053E">
        <w:rPr>
          <w:rFonts w:ascii="Times New Roman" w:hAnsi="Times New Roman"/>
          <w:sz w:val="24"/>
          <w:szCs w:val="24"/>
        </w:rPr>
        <w:t>thấp</w:t>
      </w:r>
      <w:proofErr w:type="spellEnd"/>
      <w:r w:rsidR="006D7719" w:rsidRPr="009C053E">
        <w:rPr>
          <w:rFonts w:ascii="Times New Roman" w:hAnsi="Times New Roman"/>
          <w:sz w:val="24"/>
          <w:szCs w:val="24"/>
        </w:rPr>
        <w:t xml:space="preserve"> (small- cap);</w:t>
      </w:r>
    </w:p>
    <w:p w14:paraId="6D629562" w14:textId="77777777" w:rsidR="006D7719" w:rsidRPr="00D8620E" w:rsidRDefault="006D7719"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trung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Sở</w:t>
      </w:r>
      <w:proofErr w:type="spellEnd"/>
      <w:r w:rsidRPr="00D8620E">
        <w:rPr>
          <w:rFonts w:ascii="Times New Roman" w:hAnsi="Times New Roman"/>
          <w:sz w:val="24"/>
          <w:szCs w:val="24"/>
        </w:rPr>
        <w:t xml:space="preserve"> Giao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chủ</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lớn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những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doanh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nghiệp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cạnh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tiềm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bạch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tiềm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vượt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trội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thời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cổ</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phiếu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niêm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vốn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hóa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mặc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nhưng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tiềm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tăng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rõ</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rệt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tương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lai</w:t>
      </w:r>
      <w:proofErr w:type="spellEnd"/>
      <w:r w:rsidRPr="00D8620E">
        <w:rPr>
          <w:rFonts w:ascii="Times New Roman" w:hAnsi="Times New Roman"/>
          <w:sz w:val="24"/>
          <w:szCs w:val="24"/>
        </w:rPr>
        <w:t xml:space="preserve">. </w:t>
      </w:r>
    </w:p>
    <w:p w14:paraId="7A09BCB8" w14:textId="77777777" w:rsidR="006D7719" w:rsidRPr="00D8620E" w:rsidRDefault="006D7719"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D8620E">
        <w:rPr>
          <w:rFonts w:ascii="Times New Roman" w:hAnsi="Times New Roman"/>
          <w:sz w:val="24"/>
          <w:szCs w:val="24"/>
        </w:rPr>
        <w:t>Biểu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đồ</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dưới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thể</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diễn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biến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VN-index (</w:t>
      </w:r>
      <w:proofErr w:type="spellStart"/>
      <w:r w:rsidRPr="00D8620E">
        <w:rPr>
          <w:rFonts w:ascii="Times New Roman" w:hAnsi="Times New Roman"/>
          <w:sz w:val="24"/>
          <w:szCs w:val="24"/>
        </w:rPr>
        <w:t>dây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xanh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đỏ</w:t>
      </w:r>
      <w:proofErr w:type="spellEnd"/>
      <w:r w:rsidRPr="00D8620E">
        <w:rPr>
          <w:rFonts w:ascii="Times New Roman" w:hAnsi="Times New Roman"/>
          <w:sz w:val="24"/>
          <w:szCs w:val="24"/>
        </w:rPr>
        <w:t>)</w:t>
      </w:r>
    </w:p>
    <w:p w14:paraId="2A9175B3" w14:textId="28C3BD3F" w:rsidR="00AC06E2" w:rsidRPr="00D8620E" w:rsidRDefault="006D7719"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1A7BF4">
        <w:rPr>
          <w:noProof/>
        </w:rPr>
        <w:drawing>
          <wp:inline distT="0" distB="0" distL="0" distR="0" wp14:anchorId="783FDBF8" wp14:editId="66A4A70F">
            <wp:extent cx="5943600" cy="3714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14115"/>
                    </a:xfrm>
                    <a:prstGeom prst="rect">
                      <a:avLst/>
                    </a:prstGeom>
                    <a:noFill/>
                    <a:ln>
                      <a:noFill/>
                    </a:ln>
                  </pic:spPr>
                </pic:pic>
              </a:graphicData>
            </a:graphic>
          </wp:inline>
        </w:drawing>
      </w:r>
    </w:p>
    <w:p w14:paraId="37D7E27B" w14:textId="77777777" w:rsidR="006D7719" w:rsidRPr="000F05CD" w:rsidRDefault="006D7719" w:rsidP="006D7719">
      <w:pPr>
        <w:shd w:val="clear" w:color="auto" w:fill="FFFFFF"/>
        <w:tabs>
          <w:tab w:val="left" w:pos="540"/>
        </w:tabs>
        <w:spacing w:before="120" w:after="0" w:line="240" w:lineRule="auto"/>
        <w:jc w:val="both"/>
        <w:rPr>
          <w:rFonts w:ascii="Times New Roman" w:hAnsi="Times New Roman"/>
          <w:sz w:val="24"/>
          <w:szCs w:val="24"/>
          <w:lang w:val="nl-NL"/>
        </w:rPr>
      </w:pPr>
      <w:r w:rsidRPr="000F05CD">
        <w:rPr>
          <w:rFonts w:ascii="Times New Roman" w:hAnsi="Times New Roman"/>
          <w:sz w:val="24"/>
          <w:szCs w:val="24"/>
          <w:lang w:val="nl-NL"/>
        </w:rPr>
        <w:lastRenderedPageBreak/>
        <w:t xml:space="preserve">Năm 2020 thực sự là một năm nhiều cảm xúc với thị trường chứng khoán Việt Nam cũng như với các nhà đầu tư tài chính. Năm 2020 bắt đầu khá suôn sẻ khi các nhóm cổ phiếu đồng loạt tăng trưởng trong tháng đầu năm; tuy nhiên, dịch Covid -19 xuất hiện và bùng nổ sau Tết âm lịch đã làm thị trường đảo lộn. Làn sóng bán tháo cổ phiếu trên toàn cầu cũng như ở thị trường Việt Nam diễn ra, những phiên giao dịch với hàng chục mã bluechip giảm sàn diễn ra thường xuyên. Tuy nhiên, từ mức đáy khoảng 660 điểm, VN-Index đã hồi phục mạnh mẽ sau hàng loạt thông tin tích cực về hồi phục kinh tế và kiểm soát dịch bệnh tại Việt Nam, cùng với các gói hỗ trợ tiền tệ cũng như chính sách từ Chính Phủ đã tạo đà cho tăng trưởng của thị trường, tiếp tục vượt qua sự sụt giảm tiếp theo từ làn sóng dịch Covid-19 lần thứ 2 vào tháng 8. Mặc dù trong năm 2020 nhà đầu tư nước ngoài bán ròng hơn 36 ngàn tỷ đồng toàn thị trường nhưng dòng tiền từ khối nội ngược lại đã mua ròng tới hơn 65 ngàn tỷ đồng. Số lượng nhà đầu tư mở mới tài khoản và tiền mới đầu tư vào thị trường tăng mạnh trong quý 4 đã giúp thị trường tiến về mức kỷ lục 1200 điểm của năm 2018. Thống kê của GSO trong năm trong năm 2020 thị trường chứng khoán có thanh khoản bình quân hơn 7000 tỷ đồng/phiên, tăng 51.5% so với bình quân 2019. Chốt năm 2020 VN-Index đóng cửa  1104 điểm, với mức tăng trưởng gần 15% so với cuối năm 2019 là mức cao so với các thị trường chứng khoán trong khu vực và thế giới trong năm 2020.  </w:t>
      </w:r>
    </w:p>
    <w:p w14:paraId="701866CA" w14:textId="77777777" w:rsidR="006D7719" w:rsidRPr="000F05CD" w:rsidRDefault="006D7719" w:rsidP="006D7719">
      <w:pPr>
        <w:shd w:val="clear" w:color="auto" w:fill="FFFFFF"/>
        <w:tabs>
          <w:tab w:val="left" w:pos="540"/>
        </w:tabs>
        <w:spacing w:before="120" w:after="0" w:line="240" w:lineRule="auto"/>
        <w:jc w:val="both"/>
        <w:rPr>
          <w:rFonts w:ascii="Times New Roman" w:hAnsi="Times New Roman"/>
          <w:sz w:val="24"/>
          <w:szCs w:val="24"/>
          <w:lang w:val="nl-NL"/>
        </w:rPr>
      </w:pPr>
      <w:r w:rsidRPr="000F05CD">
        <w:rPr>
          <w:rFonts w:ascii="Times New Roman" w:hAnsi="Times New Roman"/>
          <w:sz w:val="24"/>
          <w:szCs w:val="24"/>
          <w:lang w:val="nl-NL"/>
        </w:rPr>
        <w:t>Một số điểm chính giúp củng cố xu hướng tăng điểm cho Thị trường Chứng khoán như sau:</w:t>
      </w:r>
    </w:p>
    <w:p w14:paraId="732C58FA" w14:textId="77777777" w:rsidR="006D7719" w:rsidRPr="000F05CD" w:rsidRDefault="006D7719" w:rsidP="006D7719">
      <w:pPr>
        <w:pStyle w:val="ListParagraph"/>
        <w:widowControl w:val="0"/>
        <w:numPr>
          <w:ilvl w:val="0"/>
          <w:numId w:val="10"/>
        </w:numPr>
        <w:spacing w:before="100" w:after="120" w:line="288" w:lineRule="auto"/>
        <w:ind w:left="432" w:hanging="432"/>
        <w:contextualSpacing w:val="0"/>
        <w:jc w:val="both"/>
        <w:rPr>
          <w:rFonts w:ascii="Times New Roman" w:eastAsia="Times New Roman" w:hAnsi="Times New Roman"/>
          <w:sz w:val="24"/>
          <w:szCs w:val="24"/>
          <w:lang w:val="nl-NL"/>
        </w:rPr>
      </w:pPr>
      <w:r w:rsidRPr="000F05CD">
        <w:rPr>
          <w:rFonts w:ascii="Times New Roman" w:hAnsi="Times New Roman"/>
          <w:sz w:val="24"/>
          <w:szCs w:val="24"/>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075E69EE" w14:textId="77777777" w:rsidR="006D7719" w:rsidRPr="000F05CD" w:rsidRDefault="006D7719" w:rsidP="006D7719">
      <w:pPr>
        <w:pStyle w:val="ListParagraph"/>
        <w:widowControl w:val="0"/>
        <w:numPr>
          <w:ilvl w:val="0"/>
          <w:numId w:val="10"/>
        </w:numPr>
        <w:spacing w:before="100" w:after="120" w:line="288" w:lineRule="auto"/>
        <w:ind w:left="432" w:hanging="432"/>
        <w:contextualSpacing w:val="0"/>
        <w:jc w:val="both"/>
        <w:rPr>
          <w:rFonts w:ascii="Times New Roman" w:hAnsi="Times New Roman"/>
          <w:sz w:val="24"/>
          <w:szCs w:val="24"/>
          <w:lang w:val="nl-NL"/>
        </w:rPr>
      </w:pPr>
      <w:r w:rsidRPr="000F05CD">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14:paraId="4C1293B8" w14:textId="77777777" w:rsidR="006D7719" w:rsidRPr="000F05CD" w:rsidRDefault="006D7719" w:rsidP="006D7719">
      <w:pPr>
        <w:widowControl w:val="0"/>
        <w:spacing w:before="100" w:after="120" w:line="288" w:lineRule="auto"/>
        <w:jc w:val="both"/>
        <w:rPr>
          <w:rFonts w:ascii="Times New Roman" w:hAnsi="Times New Roman"/>
          <w:sz w:val="24"/>
          <w:szCs w:val="24"/>
          <w:lang w:val="nl-NL"/>
        </w:rPr>
      </w:pPr>
      <w:r w:rsidRPr="000F05CD">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thoái vốn doanh nghiệp Nhà nước và việc niêm yết cổ phiếu của các ngân hàng trước năm 2020; (iii) triển vọng nâng hạng Thị trường Việt Nam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tháng 01 năm 2021. Bên cạnh đó, những rủi ro tiềm ẩn cần lưu ý bao gồm căng thẳng thương mại Mỹ -Trung đang diễn ra phức tạp; nền kinh tế thế giới cùng chuỗi cung ứng toàn cầu đã bị tổn thương nặng nề sau một năm biến cố vì Covid-19; chính sách kinh tế và chính trị của Mỹ trong thời gian tới từ Tổng thống mới đắc cử Biden vẫn chưa được dự báo rõ ràng; mặc dù thế giới đã có vaccines Covid-19 tuy nhiên với những biến thể mới của virus, dịch bệnh có thể bùng phát trở lại bất kỳ lúc nào và có thể gây tác động tiêu cực đến thương mại cũng như dòng vốn đầu tư gián tiếp của nước ngoài vào Thị trường Chứng khoán Việt Nam;  </w:t>
      </w:r>
    </w:p>
    <w:p w14:paraId="7FB9E5E3" w14:textId="77777777" w:rsidR="006D7719" w:rsidRPr="000F05CD" w:rsidRDefault="006D7719" w:rsidP="006D7719">
      <w:pPr>
        <w:shd w:val="clear" w:color="auto" w:fill="FFFFFF"/>
        <w:tabs>
          <w:tab w:val="left" w:pos="540"/>
        </w:tabs>
        <w:spacing w:before="120" w:after="0" w:line="240" w:lineRule="auto"/>
        <w:jc w:val="both"/>
        <w:rPr>
          <w:rFonts w:ascii="Times New Roman" w:hAnsi="Times New Roman"/>
          <w:sz w:val="24"/>
          <w:szCs w:val="24"/>
          <w:lang w:val="vi-VN"/>
        </w:rPr>
      </w:pPr>
      <w:r w:rsidRPr="000F05CD">
        <w:rPr>
          <w:rFonts w:ascii="Times New Roman" w:hAnsi="Times New Roman"/>
          <w:sz w:val="24"/>
          <w:szCs w:val="24"/>
          <w:lang w:val="nl-NL"/>
        </w:rPr>
        <w:lastRenderedPageBreak/>
        <w:t>Dù vậy với các yếu tố cơ bản vĩ mô ổn định và việc kiểm soát tốt dịch bệnh trong thời gian qua giúp nền kinh tế Việt Nam được dự báo sẽ hồi phục mạnh mẽ trở lại trong năm 2021. Kết hợp với các yếu tố xúc túc của thị trường chứng khoán Việt Nam như phân tích ở trên có thể thấy thị trường Chứng khoán Việt Nam trong thời gian sắp tới vẫn tiếp tục có triển vọng tích cực, đóng vai trò là kênh huy động vốn cũng như kênh đầu tư quan trọng của nền kinh tế, tạo tiền đề cho sự phát triển lâu dài trong những năm tiếp theo</w:t>
      </w:r>
      <w:r w:rsidRPr="000F05CD">
        <w:rPr>
          <w:rFonts w:ascii="Times New Roman" w:hAnsi="Times New Roman"/>
          <w:sz w:val="24"/>
          <w:szCs w:val="24"/>
          <w:lang w:val="vi-VN"/>
        </w:rPr>
        <w:t>.</w:t>
      </w:r>
    </w:p>
    <w:p w14:paraId="13A9642B" w14:textId="56B1F4F5" w:rsidR="00100534" w:rsidRPr="00D8620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b/>
          <w:sz w:val="24"/>
          <w:szCs w:val="24"/>
          <w:lang w:val="nl-NL"/>
        </w:rPr>
      </w:pPr>
      <w:proofErr w:type="spellStart"/>
      <w:r w:rsidRPr="00D8620E">
        <w:rPr>
          <w:rFonts w:ascii="Times New Roman" w:hAnsi="Times New Roman"/>
          <w:sz w:val="24"/>
          <w:szCs w:val="24"/>
        </w:rPr>
        <w:t>i</w:t>
      </w:r>
      <w:proofErr w:type="spellEnd"/>
      <w:r w:rsidRPr="00D8620E">
        <w:rPr>
          <w:rFonts w:ascii="Times New Roman" w:hAnsi="Times New Roman"/>
          <w:sz w:val="24"/>
          <w:szCs w:val="24"/>
        </w:rPr>
        <w:t xml:space="preserve">) </w:t>
      </w:r>
      <w:r w:rsidR="006D7719" w:rsidRPr="00D8620E">
        <w:rPr>
          <w:rFonts w:ascii="Times New Roman" w:hAnsi="Times New Roman"/>
          <w:sz w:val="24"/>
          <w:szCs w:val="24"/>
          <w:lang w:val="nl-NL"/>
        </w:rPr>
        <w:t xml:space="preserve">Thông tin về việc chia, tách đơn vị quỹ trong kỳ (nếu có); ảnh hưởng của việc chia tách đơn vị quỹ và giá trị tài sản ròng trên từng đơn vị quỹ (trước và sau khi chia, tách): </w:t>
      </w:r>
      <w:r w:rsidR="006D7719" w:rsidRPr="00D8620E">
        <w:rPr>
          <w:rFonts w:ascii="Times New Roman" w:hAnsi="Times New Roman"/>
          <w:i/>
          <w:sz w:val="24"/>
          <w:szCs w:val="24"/>
          <w:lang w:val="nl-NL"/>
        </w:rPr>
        <w:t>Quỹ không thực hiện chia tách đơn vị quỹ trong kỳ</w:t>
      </w:r>
    </w:p>
    <w:p w14:paraId="64747D11" w14:textId="77777777" w:rsidR="00100534" w:rsidRPr="009C053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9C053E">
        <w:rPr>
          <w:rFonts w:ascii="Times New Roman" w:hAnsi="Times New Roman"/>
          <w:sz w:val="24"/>
          <w:szCs w:val="24"/>
          <w:lang w:val="nl-NL"/>
        </w:rPr>
        <w:t>k) Các trường hợp có ảnh hưởng tới quyền lợi của nhà đầu tư nắm giữ chứng chỉ quỹ</w:t>
      </w:r>
      <w:r w:rsidR="00B27B45" w:rsidRPr="009C053E">
        <w:rPr>
          <w:rFonts w:ascii="Times New Roman" w:hAnsi="Times New Roman"/>
          <w:sz w:val="24"/>
          <w:szCs w:val="24"/>
          <w:lang w:val="nl-NL"/>
        </w:rPr>
        <w:t>:</w:t>
      </w:r>
    </w:p>
    <w:p w14:paraId="63EEDEE6" w14:textId="77777777" w:rsidR="00B27B45" w:rsidRPr="00D8620E" w:rsidRDefault="00B27B4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9C053E">
        <w:rPr>
          <w:rFonts w:ascii="Times New Roman" w:hAnsi="Times New Roman"/>
          <w:sz w:val="24"/>
          <w:szCs w:val="24"/>
          <w:lang w:val="nl-NL"/>
        </w:rPr>
        <w:t>Quyền lợi của Nhà đầu tư nắm giữ chứng chỉ quỹ như theo quy định tại Điều lệ quỹ và Bản Cáo bạch.</w:t>
      </w:r>
    </w:p>
    <w:p w14:paraId="5DEA02B5" w14:textId="77777777" w:rsidR="00100534" w:rsidRPr="00D8620E"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9C053E">
        <w:rPr>
          <w:rFonts w:ascii="Times New Roman" w:hAnsi="Times New Roman"/>
          <w:sz w:val="24"/>
          <w:szCs w:val="24"/>
          <w:lang w:val="nl-NL"/>
        </w:rPr>
        <w:t>l) Thông tin về các giao dịch với người có quyền lợi liên quan</w:t>
      </w:r>
      <w:r w:rsidR="00B27B45" w:rsidRPr="009C053E">
        <w:rPr>
          <w:rFonts w:ascii="Times New Roman" w:hAnsi="Times New Roman"/>
          <w:sz w:val="24"/>
          <w:szCs w:val="24"/>
          <w:lang w:val="nl-NL"/>
        </w:rPr>
        <w:t>:</w:t>
      </w:r>
      <w:r w:rsidRPr="00D8620E">
        <w:rPr>
          <w:rFonts w:ascii="Times New Roman" w:hAnsi="Times New Roman"/>
          <w:sz w:val="24"/>
          <w:szCs w:val="24"/>
          <w:lang w:val="nl-NL"/>
        </w:rPr>
        <w:t xml:space="preserve"> </w:t>
      </w:r>
    </w:p>
    <w:p w14:paraId="22162C60" w14:textId="77777777" w:rsidR="006D7719" w:rsidRPr="00D8620E" w:rsidRDefault="006D7719" w:rsidP="006D7719">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D8620E">
        <w:rPr>
          <w:rFonts w:ascii="Times New Roman" w:hAnsi="Times New Roman"/>
          <w:sz w:val="24"/>
          <w:szCs w:val="24"/>
          <w:lang w:val="nl-NL"/>
        </w:rPr>
        <w:t xml:space="preserve">Quỹ không có thực hiện hoạt động đầu tư, giao dịch tài sản giữa Quỹ với Công ty Quản lý Quỹ và người có quyền lợi liên quan; ngoại trừ giao dịch Chứng chỉ Quỹ của người nội bộ và người có liên quan của người nội bộ như đã được công bố thông tin, báo cáo Ủy ban Chứng khoán Nhà nước, các khoản chi phí phù hợp với quy định tại Điều lệ Quỹ, Bản Cáo bạch.   </w:t>
      </w:r>
    </w:p>
    <w:p w14:paraId="6710D1AA" w14:textId="77777777" w:rsidR="003B5D8B" w:rsidRPr="00D8620E" w:rsidRDefault="003B5D8B" w:rsidP="004352B7">
      <w:pPr>
        <w:spacing w:before="120" w:after="120" w:line="360" w:lineRule="auto"/>
        <w:jc w:val="both"/>
        <w:rPr>
          <w:rFonts w:ascii="Times New Roman" w:hAnsi="Times New Roman"/>
          <w:b/>
          <w:color w:val="000000"/>
          <w:sz w:val="24"/>
          <w:szCs w:val="24"/>
        </w:rPr>
      </w:pPr>
      <w:r w:rsidRPr="009C053E">
        <w:rPr>
          <w:rFonts w:ascii="Times New Roman" w:hAnsi="Times New Roman"/>
          <w:b/>
          <w:sz w:val="24"/>
          <w:szCs w:val="24"/>
          <w:lang w:val="nl-NL"/>
        </w:rPr>
        <w:t xml:space="preserve">4. </w:t>
      </w:r>
      <w:r w:rsidR="00100534" w:rsidRPr="009C053E">
        <w:rPr>
          <w:rFonts w:ascii="Times New Roman" w:hAnsi="Times New Roman"/>
          <w:b/>
          <w:sz w:val="24"/>
          <w:szCs w:val="24"/>
          <w:lang w:val="nl-NL"/>
        </w:rPr>
        <w:t>Báo cáo về hoạt động giám sát của Ngân hàng giám sát</w:t>
      </w:r>
      <w:r w:rsidRPr="009C053E">
        <w:rPr>
          <w:rFonts w:ascii="Times New Roman" w:hAnsi="Times New Roman"/>
          <w:b/>
          <w:sz w:val="24"/>
          <w:szCs w:val="24"/>
          <w:lang w:val="nl-NL"/>
        </w:rPr>
        <w:t xml:space="preserve"> </w:t>
      </w:r>
      <w:proofErr w:type="spellStart"/>
      <w:r w:rsidRPr="009C053E">
        <w:rPr>
          <w:rFonts w:ascii="Times New Roman" w:hAnsi="Times New Roman"/>
          <w:b/>
          <w:color w:val="000000"/>
          <w:sz w:val="24"/>
          <w:szCs w:val="24"/>
        </w:rPr>
        <w:t>cho</w:t>
      </w:r>
      <w:proofErr w:type="spellEnd"/>
      <w:r w:rsidRPr="009C053E">
        <w:rPr>
          <w:rFonts w:ascii="Times New Roman" w:hAnsi="Times New Roman"/>
          <w:b/>
          <w:color w:val="000000"/>
          <w:sz w:val="24"/>
          <w:szCs w:val="24"/>
        </w:rPr>
        <w:t xml:space="preserve"> </w:t>
      </w:r>
      <w:proofErr w:type="spellStart"/>
      <w:r w:rsidRPr="009C053E">
        <w:rPr>
          <w:rFonts w:ascii="Times New Roman" w:hAnsi="Times New Roman"/>
          <w:b/>
          <w:color w:val="000000"/>
          <w:sz w:val="24"/>
          <w:szCs w:val="24"/>
        </w:rPr>
        <w:t>giai</w:t>
      </w:r>
      <w:proofErr w:type="spellEnd"/>
      <w:r w:rsidRPr="009C053E">
        <w:rPr>
          <w:rFonts w:ascii="Times New Roman" w:hAnsi="Times New Roman"/>
          <w:b/>
          <w:color w:val="000000"/>
          <w:sz w:val="24"/>
          <w:szCs w:val="24"/>
        </w:rPr>
        <w:t xml:space="preserve"> </w:t>
      </w:r>
      <w:proofErr w:type="spellStart"/>
      <w:r w:rsidRPr="009C053E">
        <w:rPr>
          <w:rFonts w:ascii="Times New Roman" w:hAnsi="Times New Roman"/>
          <w:b/>
          <w:color w:val="000000"/>
          <w:sz w:val="24"/>
          <w:szCs w:val="24"/>
        </w:rPr>
        <w:t>đoạn</w:t>
      </w:r>
      <w:proofErr w:type="spellEnd"/>
      <w:r w:rsidRPr="009C053E">
        <w:rPr>
          <w:rFonts w:ascii="Times New Roman" w:hAnsi="Times New Roman"/>
          <w:b/>
          <w:color w:val="000000"/>
          <w:sz w:val="24"/>
          <w:szCs w:val="24"/>
        </w:rPr>
        <w:t xml:space="preserve"> </w:t>
      </w:r>
      <w:proofErr w:type="spellStart"/>
      <w:r w:rsidRPr="009C053E">
        <w:rPr>
          <w:rFonts w:ascii="Times New Roman" w:hAnsi="Times New Roman"/>
          <w:b/>
          <w:color w:val="000000"/>
          <w:sz w:val="24"/>
          <w:szCs w:val="24"/>
        </w:rPr>
        <w:t>từ</w:t>
      </w:r>
      <w:proofErr w:type="spellEnd"/>
      <w:r w:rsidRPr="009C053E">
        <w:rPr>
          <w:rFonts w:ascii="Times New Roman" w:hAnsi="Times New Roman"/>
          <w:b/>
          <w:color w:val="000000"/>
          <w:sz w:val="24"/>
          <w:szCs w:val="24"/>
        </w:rPr>
        <w:t xml:space="preserve"> </w:t>
      </w:r>
      <w:proofErr w:type="spellStart"/>
      <w:r w:rsidRPr="009C053E">
        <w:rPr>
          <w:rFonts w:ascii="Times New Roman" w:hAnsi="Times New Roman"/>
          <w:b/>
          <w:color w:val="000000"/>
          <w:sz w:val="24"/>
          <w:szCs w:val="24"/>
        </w:rPr>
        <w:t>ngày</w:t>
      </w:r>
      <w:proofErr w:type="spellEnd"/>
      <w:r w:rsidRPr="009C053E">
        <w:rPr>
          <w:rFonts w:ascii="Times New Roman" w:hAnsi="Times New Roman"/>
          <w:b/>
          <w:color w:val="000000"/>
          <w:sz w:val="24"/>
          <w:szCs w:val="24"/>
        </w:rPr>
        <w:t xml:space="preserve"> 0</w:t>
      </w:r>
      <w:r w:rsidR="00F466BE" w:rsidRPr="009C053E">
        <w:rPr>
          <w:rFonts w:ascii="Times New Roman" w:hAnsi="Times New Roman"/>
          <w:b/>
          <w:color w:val="000000"/>
          <w:sz w:val="24"/>
          <w:szCs w:val="24"/>
        </w:rPr>
        <w:t>1</w:t>
      </w:r>
      <w:r w:rsidRPr="009C053E">
        <w:rPr>
          <w:rFonts w:ascii="Times New Roman" w:hAnsi="Times New Roman"/>
          <w:b/>
          <w:color w:val="000000"/>
          <w:sz w:val="24"/>
          <w:szCs w:val="24"/>
        </w:rPr>
        <w:t>/01/20</w:t>
      </w:r>
      <w:r w:rsidR="00F466BE" w:rsidRPr="009C053E">
        <w:rPr>
          <w:rFonts w:ascii="Times New Roman" w:hAnsi="Times New Roman"/>
          <w:b/>
          <w:color w:val="000000"/>
          <w:sz w:val="24"/>
          <w:szCs w:val="24"/>
        </w:rPr>
        <w:t>20</w:t>
      </w:r>
      <w:r w:rsidRPr="009C053E">
        <w:rPr>
          <w:rFonts w:ascii="Times New Roman" w:hAnsi="Times New Roman"/>
          <w:b/>
          <w:color w:val="000000"/>
          <w:sz w:val="24"/>
          <w:szCs w:val="24"/>
        </w:rPr>
        <w:t xml:space="preserve"> </w:t>
      </w:r>
      <w:proofErr w:type="spellStart"/>
      <w:r w:rsidRPr="009C053E">
        <w:rPr>
          <w:rFonts w:ascii="Times New Roman" w:hAnsi="Times New Roman"/>
          <w:b/>
          <w:color w:val="000000"/>
          <w:sz w:val="24"/>
          <w:szCs w:val="24"/>
        </w:rPr>
        <w:t>đến</w:t>
      </w:r>
      <w:proofErr w:type="spellEnd"/>
      <w:r w:rsidRPr="009C053E">
        <w:rPr>
          <w:rFonts w:ascii="Times New Roman" w:hAnsi="Times New Roman"/>
          <w:b/>
          <w:color w:val="000000"/>
          <w:sz w:val="24"/>
          <w:szCs w:val="24"/>
        </w:rPr>
        <w:t xml:space="preserve"> </w:t>
      </w:r>
      <w:proofErr w:type="spellStart"/>
      <w:r w:rsidRPr="009C053E">
        <w:rPr>
          <w:rFonts w:ascii="Times New Roman" w:hAnsi="Times New Roman"/>
          <w:b/>
          <w:color w:val="000000"/>
          <w:sz w:val="24"/>
          <w:szCs w:val="24"/>
        </w:rPr>
        <w:t>ngày</w:t>
      </w:r>
      <w:proofErr w:type="spellEnd"/>
      <w:r w:rsidRPr="009C053E">
        <w:rPr>
          <w:rFonts w:ascii="Times New Roman" w:hAnsi="Times New Roman"/>
          <w:b/>
          <w:color w:val="000000"/>
          <w:sz w:val="24"/>
          <w:szCs w:val="24"/>
        </w:rPr>
        <w:t xml:space="preserve"> </w:t>
      </w:r>
      <w:r w:rsidR="00E737D0" w:rsidRPr="009C053E">
        <w:rPr>
          <w:rFonts w:ascii="Times New Roman" w:hAnsi="Times New Roman"/>
          <w:b/>
          <w:color w:val="000000"/>
          <w:sz w:val="24"/>
          <w:szCs w:val="24"/>
        </w:rPr>
        <w:t>31</w:t>
      </w:r>
      <w:r w:rsidRPr="009C053E">
        <w:rPr>
          <w:rFonts w:ascii="Times New Roman" w:hAnsi="Times New Roman"/>
          <w:b/>
          <w:color w:val="000000"/>
          <w:sz w:val="24"/>
          <w:szCs w:val="24"/>
        </w:rPr>
        <w:t>/</w:t>
      </w:r>
      <w:r w:rsidR="00E737D0" w:rsidRPr="009C053E">
        <w:rPr>
          <w:rFonts w:ascii="Times New Roman" w:hAnsi="Times New Roman"/>
          <w:b/>
          <w:color w:val="000000"/>
          <w:sz w:val="24"/>
          <w:szCs w:val="24"/>
        </w:rPr>
        <w:t>12</w:t>
      </w:r>
      <w:r w:rsidRPr="009C053E">
        <w:rPr>
          <w:rFonts w:ascii="Times New Roman" w:hAnsi="Times New Roman"/>
          <w:b/>
          <w:color w:val="000000"/>
          <w:sz w:val="24"/>
          <w:szCs w:val="24"/>
        </w:rPr>
        <w:t>/20</w:t>
      </w:r>
      <w:r w:rsidR="00F466BE" w:rsidRPr="009C053E">
        <w:rPr>
          <w:rFonts w:ascii="Times New Roman" w:hAnsi="Times New Roman"/>
          <w:b/>
          <w:color w:val="000000"/>
          <w:sz w:val="24"/>
          <w:szCs w:val="24"/>
        </w:rPr>
        <w:t>20</w:t>
      </w:r>
      <w:r w:rsidRPr="009C053E">
        <w:rPr>
          <w:rFonts w:ascii="Times New Roman" w:hAnsi="Times New Roman"/>
          <w:b/>
          <w:color w:val="000000"/>
          <w:sz w:val="24"/>
          <w:szCs w:val="24"/>
        </w:rPr>
        <w:t>:</w:t>
      </w:r>
    </w:p>
    <w:p w14:paraId="0B484732" w14:textId="2EBB1A0D"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sz w:val="24"/>
          <w:szCs w:val="24"/>
          <w:lang w:val="nl-NL"/>
        </w:rPr>
        <w:t xml:space="preserve">Công ty Quản lý Quỹ </w:t>
      </w:r>
      <w:r w:rsidRPr="00D8620E">
        <w:rPr>
          <w:rFonts w:ascii="Times New Roman" w:hAnsi="Times New Roman"/>
          <w:sz w:val="24"/>
          <w:szCs w:val="24"/>
        </w:rPr>
        <w:t xml:space="preserve">vi </w:t>
      </w:r>
      <w:proofErr w:type="spellStart"/>
      <w:r w:rsidRPr="00D8620E">
        <w:rPr>
          <w:rFonts w:ascii="Times New Roman" w:hAnsi="Times New Roman"/>
          <w:sz w:val="24"/>
          <w:szCs w:val="24"/>
        </w:rPr>
        <w:t>phạm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37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183/2011/TT-BTC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16/12/2011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hướng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w:t>
      </w:r>
      <w:proofErr w:type="spellStart"/>
      <w:r w:rsidRPr="00D8620E">
        <w:rPr>
          <w:rFonts w:ascii="Times New Roman" w:hAnsi="Times New Roman"/>
          <w:b/>
          <w:bCs/>
          <w:sz w:val="24"/>
          <w:szCs w:val="24"/>
        </w:rPr>
        <w:t>Không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14:paraId="6EDFF3DF" w14:textId="77777777"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sz w:val="24"/>
          <w:szCs w:val="24"/>
          <w:lang w:val="nl-NL"/>
        </w:rPr>
        <w:t xml:space="preserve">Công ty Quản lý Quỹ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chỉ</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(“CCQ”)</w:t>
      </w:r>
      <w:proofErr w:type="spellStart"/>
      <w:r w:rsidRPr="00D8620E">
        <w:rPr>
          <w:rFonts w:ascii="Times New Roman" w:hAnsi="Times New Roman"/>
          <w:sz w:val="24"/>
          <w:szCs w:val="24"/>
        </w:rPr>
        <w:t>mở</w:t>
      </w:r>
      <w:proofErr w:type="spellEnd"/>
      <w:r w:rsidRPr="00D8620E">
        <w:rPr>
          <w:rFonts w:ascii="Times New Roman" w:hAnsi="Times New Roman"/>
          <w:sz w:val="24"/>
          <w:szCs w:val="24"/>
        </w:rPr>
        <w:t xml:space="preserve">: </w:t>
      </w:r>
    </w:p>
    <w:p w14:paraId="209BA062" w14:textId="77777777" w:rsidR="00E842A8" w:rsidRPr="00D8620E" w:rsidRDefault="00E842A8" w:rsidP="00C503F3">
      <w:pPr>
        <w:numPr>
          <w:ilvl w:val="3"/>
          <w:numId w:val="13"/>
        </w:numPr>
        <w:tabs>
          <w:tab w:val="left" w:pos="450"/>
        </w:tabs>
        <w:spacing w:before="120" w:after="120" w:line="360" w:lineRule="auto"/>
        <w:ind w:left="1276"/>
        <w:jc w:val="both"/>
        <w:rPr>
          <w:rFonts w:ascii="Times New Roman" w:hAnsi="Times New Roman"/>
          <w:sz w:val="24"/>
          <w:szCs w:val="24"/>
        </w:rPr>
      </w:pPr>
      <w:proofErr w:type="spellStart"/>
      <w:r w:rsidRPr="00D8620E">
        <w:rPr>
          <w:rFonts w:ascii="Times New Roman" w:hAnsi="Times New Roman"/>
          <w:sz w:val="24"/>
          <w:szCs w:val="24"/>
        </w:rPr>
        <w:t>Đối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hợp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lớn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theo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20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183/2011/TT-BTC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16/12/2011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hướng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mở</w:t>
      </w:r>
      <w:proofErr w:type="spellEnd"/>
      <w:r w:rsidRPr="00D8620E">
        <w:rPr>
          <w:rFonts w:ascii="Times New Roman" w:hAnsi="Times New Roman"/>
          <w:sz w:val="24"/>
          <w:szCs w:val="24"/>
        </w:rPr>
        <w:t xml:space="preserve">: </w:t>
      </w:r>
      <w:proofErr w:type="spellStart"/>
      <w:r w:rsidRPr="00D8620E">
        <w:rPr>
          <w:rFonts w:ascii="Times New Roman" w:hAnsi="Times New Roman"/>
          <w:b/>
          <w:bCs/>
          <w:sz w:val="24"/>
          <w:szCs w:val="24"/>
        </w:rPr>
        <w:t>Không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14:paraId="0D649883" w14:textId="77777777" w:rsidR="00E842A8" w:rsidRPr="00D8620E" w:rsidRDefault="00E842A8" w:rsidP="00C503F3">
      <w:pPr>
        <w:numPr>
          <w:ilvl w:val="3"/>
          <w:numId w:val="13"/>
        </w:numPr>
        <w:tabs>
          <w:tab w:val="left" w:pos="450"/>
        </w:tabs>
        <w:spacing w:before="120" w:after="120" w:line="360" w:lineRule="auto"/>
        <w:ind w:left="1276"/>
        <w:jc w:val="both"/>
        <w:rPr>
          <w:rFonts w:ascii="Times New Roman" w:hAnsi="Times New Roman"/>
          <w:sz w:val="24"/>
          <w:szCs w:val="24"/>
        </w:rPr>
      </w:pPr>
      <w:proofErr w:type="spellStart"/>
      <w:r w:rsidRPr="00D8620E">
        <w:rPr>
          <w:rFonts w:ascii="Times New Roman" w:hAnsi="Times New Roman"/>
          <w:sz w:val="24"/>
          <w:szCs w:val="24"/>
        </w:rPr>
        <w:t>Đối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với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hợp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mức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sai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nhỏ</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bồi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thường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r w:rsidRPr="00D8620E">
        <w:rPr>
          <w:rFonts w:ascii="Times New Roman" w:hAnsi="Times New Roman"/>
          <w:b/>
          <w:bCs/>
          <w:sz w:val="24"/>
          <w:szCs w:val="24"/>
          <w:lang w:val="nl-NL"/>
        </w:rPr>
        <w:t>Không có</w:t>
      </w:r>
    </w:p>
    <w:p w14:paraId="673B82F3" w14:textId="77777777"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sz w:val="24"/>
          <w:szCs w:val="24"/>
          <w:lang w:val="nl-NL"/>
        </w:rPr>
        <w:t xml:space="preserve">Công ty Quản lý Quỹ </w:t>
      </w:r>
      <w:r w:rsidRPr="00D8620E">
        <w:rPr>
          <w:rFonts w:ascii="Times New Roman" w:hAnsi="Times New Roman"/>
          <w:sz w:val="24"/>
          <w:szCs w:val="24"/>
        </w:rPr>
        <w:t xml:space="preserve">vi </w:t>
      </w:r>
      <w:proofErr w:type="spellStart"/>
      <w:r w:rsidRPr="00D8620E">
        <w:rPr>
          <w:rFonts w:ascii="Times New Roman" w:hAnsi="Times New Roman"/>
          <w:sz w:val="24"/>
          <w:szCs w:val="24"/>
        </w:rPr>
        <w:t>phạm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đầu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vay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chế</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giao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dịch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tại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92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Luật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chứng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15, 16, 17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183/2011/TT-BTC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16/12/2011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hướng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dẫn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thành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lập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mở</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được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sửa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đổi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bởi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9, 10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15/2016/TT-BTC </w:t>
      </w:r>
      <w:proofErr w:type="spellStart"/>
      <w:r w:rsidRPr="00D8620E">
        <w:rPr>
          <w:rFonts w:ascii="Times New Roman" w:hAnsi="Times New Roman"/>
          <w:sz w:val="24"/>
          <w:szCs w:val="24"/>
        </w:rPr>
        <w:t>ngày</w:t>
      </w:r>
      <w:proofErr w:type="spellEnd"/>
      <w:r w:rsidRPr="00D8620E">
        <w:rPr>
          <w:rFonts w:ascii="Times New Roman" w:hAnsi="Times New Roman"/>
          <w:sz w:val="24"/>
          <w:szCs w:val="24"/>
        </w:rPr>
        <w:t xml:space="preserve"> 20/01/2016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trưởng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Tài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lastRenderedPageBreak/>
        <w:t>chính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sửa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đổi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bổ</w:t>
      </w:r>
      <w:proofErr w:type="spellEnd"/>
      <w:r w:rsidRPr="00D8620E">
        <w:rPr>
          <w:rFonts w:ascii="Times New Roman" w:hAnsi="Times New Roman"/>
          <w:sz w:val="24"/>
          <w:szCs w:val="24"/>
        </w:rPr>
        <w:t xml:space="preserve"> sung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183/2011/TT-BTC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15/2016/TT-BTC”)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khoản</w:t>
      </w:r>
      <w:proofErr w:type="spellEnd"/>
      <w:r w:rsidRPr="00D8620E">
        <w:rPr>
          <w:rFonts w:ascii="Times New Roman" w:hAnsi="Times New Roman"/>
          <w:sz w:val="24"/>
          <w:szCs w:val="24"/>
        </w:rPr>
        <w:t xml:space="preserve"> 11, 12 </w:t>
      </w:r>
      <w:proofErr w:type="spellStart"/>
      <w:r w:rsidRPr="00D8620E">
        <w:rPr>
          <w:rFonts w:ascii="Times New Roman" w:hAnsi="Times New Roman"/>
          <w:sz w:val="24"/>
          <w:szCs w:val="24"/>
        </w:rPr>
        <w:t>Điều</w:t>
      </w:r>
      <w:proofErr w:type="spellEnd"/>
      <w:r w:rsidRPr="00D8620E">
        <w:rPr>
          <w:rFonts w:ascii="Times New Roman" w:hAnsi="Times New Roman"/>
          <w:sz w:val="24"/>
          <w:szCs w:val="24"/>
        </w:rPr>
        <w:t xml:space="preserve"> 1 </w:t>
      </w:r>
      <w:proofErr w:type="spellStart"/>
      <w:r w:rsidRPr="00D8620E">
        <w:rPr>
          <w:rFonts w:ascii="Times New Roman" w:hAnsi="Times New Roman"/>
          <w:sz w:val="24"/>
          <w:szCs w:val="24"/>
        </w:rPr>
        <w:t>Thông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tư</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số</w:t>
      </w:r>
      <w:proofErr w:type="spellEnd"/>
      <w:r w:rsidRPr="00D8620E">
        <w:rPr>
          <w:rFonts w:ascii="Times New Roman" w:hAnsi="Times New Roman"/>
          <w:sz w:val="24"/>
          <w:szCs w:val="24"/>
        </w:rPr>
        <w:t xml:space="preserve"> 15/2016/TT-BTC: </w:t>
      </w:r>
      <w:proofErr w:type="spellStart"/>
      <w:r w:rsidR="00AF33F0" w:rsidRPr="00D8620E">
        <w:rPr>
          <w:rFonts w:ascii="Times New Roman" w:hAnsi="Times New Roman"/>
          <w:b/>
          <w:bCs/>
          <w:sz w:val="24"/>
          <w:szCs w:val="24"/>
        </w:rPr>
        <w:t>K</w:t>
      </w:r>
      <w:r w:rsidRPr="00D8620E">
        <w:rPr>
          <w:rFonts w:ascii="Times New Roman" w:hAnsi="Times New Roman"/>
          <w:b/>
          <w:bCs/>
          <w:sz w:val="24"/>
          <w:szCs w:val="24"/>
        </w:rPr>
        <w:t>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14:paraId="711B884E" w14:textId="77777777"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r w:rsidRPr="00D8620E">
        <w:rPr>
          <w:rFonts w:ascii="Times New Roman" w:hAnsi="Times New Roman"/>
          <w:sz w:val="24"/>
          <w:szCs w:val="24"/>
          <w:lang w:val="nl-NL"/>
        </w:rPr>
        <w:t>Công ty Quản lý Quỹ vi phạm các quy định về phân phối chứng chỉ quỹ (ngoại trừ quy định tại điểm a khoản 1 Điều 11 và khoản 2 Điều 12 Thông tư số 183/2011/TT-BTC ngày 16/12/2011 của Bộ Tài chính hướng dẫn về việc thành lập và quản lý quỹ mở) ):</w:t>
      </w:r>
      <w:r w:rsidRPr="00D8620E">
        <w:rPr>
          <w:rFonts w:ascii="Times New Roman" w:hAnsi="Times New Roman"/>
          <w:sz w:val="24"/>
          <w:szCs w:val="24"/>
        </w:rPr>
        <w:t xml:space="preserve"> </w:t>
      </w:r>
      <w:proofErr w:type="spellStart"/>
      <w:r w:rsidR="00AF33F0" w:rsidRPr="00D8620E">
        <w:rPr>
          <w:rFonts w:ascii="Times New Roman" w:hAnsi="Times New Roman"/>
          <w:b/>
          <w:bCs/>
          <w:sz w:val="24"/>
          <w:szCs w:val="24"/>
        </w:rPr>
        <w:t>K</w:t>
      </w:r>
      <w:r w:rsidRPr="00D8620E">
        <w:rPr>
          <w:rFonts w:ascii="Times New Roman" w:hAnsi="Times New Roman"/>
          <w:b/>
          <w:bCs/>
          <w:sz w:val="24"/>
          <w:szCs w:val="24"/>
        </w:rPr>
        <w:t>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14:paraId="484904FB" w14:textId="6454C4D6" w:rsidR="00E842A8" w:rsidRDefault="00E842A8" w:rsidP="00E842A8">
      <w:pPr>
        <w:tabs>
          <w:tab w:val="left" w:pos="450"/>
        </w:tabs>
        <w:spacing w:before="120" w:after="120" w:line="360" w:lineRule="auto"/>
        <w:ind w:left="450"/>
        <w:jc w:val="both"/>
        <w:rPr>
          <w:rFonts w:ascii="Times New Roman" w:hAnsi="Times New Roman"/>
          <w:sz w:val="24"/>
          <w:szCs w:val="24"/>
          <w:lang w:val="nl-NL"/>
        </w:rPr>
      </w:pPr>
      <w:r w:rsidRPr="00D8620E">
        <w:rPr>
          <w:rFonts w:ascii="Times New Roman" w:hAnsi="Times New Roman"/>
          <w:sz w:val="24"/>
          <w:szCs w:val="24"/>
          <w:lang w:val="nl-NL"/>
        </w:rPr>
        <w:t>Chi tiết về phân phối chứng chỉ Quỹ:</w:t>
      </w:r>
    </w:p>
    <w:p w14:paraId="41443300" w14:textId="77777777" w:rsidR="009C053E" w:rsidRPr="009C053E" w:rsidRDefault="009C053E" w:rsidP="009C053E">
      <w:pPr>
        <w:tabs>
          <w:tab w:val="left" w:pos="6120"/>
        </w:tabs>
        <w:spacing w:before="120" w:after="120"/>
        <w:ind w:left="450"/>
        <w:jc w:val="both"/>
        <w:rPr>
          <w:rFonts w:ascii="Times New Roman" w:hAnsi="Times New Roman"/>
          <w:sz w:val="24"/>
          <w:szCs w:val="24"/>
          <w:lang w:val="nl-NL"/>
        </w:rPr>
      </w:pPr>
      <w:r w:rsidRPr="009C053E">
        <w:rPr>
          <w:rFonts w:ascii="Times New Roman" w:hAnsi="Times New Roman"/>
          <w:sz w:val="24"/>
          <w:szCs w:val="24"/>
          <w:lang w:val="nl-NL"/>
        </w:rPr>
        <w:t>Tổng số chứng chỉ Quỹ tại ngày 31/12/2019</w:t>
      </w:r>
      <w:r w:rsidRPr="009C053E">
        <w:rPr>
          <w:rFonts w:ascii="Times New Roman" w:hAnsi="Times New Roman"/>
          <w:sz w:val="24"/>
          <w:szCs w:val="24"/>
          <w:lang w:val="nl-NL"/>
        </w:rPr>
        <w:tab/>
        <w:t>: 7.747.580,49 CCQ</w:t>
      </w:r>
    </w:p>
    <w:p w14:paraId="21887D81" w14:textId="77777777" w:rsidR="00E842A8" w:rsidRPr="009C053E" w:rsidRDefault="00E842A8" w:rsidP="00E842A8">
      <w:pPr>
        <w:tabs>
          <w:tab w:val="left" w:pos="6120"/>
        </w:tabs>
        <w:spacing w:before="120" w:after="120"/>
        <w:ind w:left="450"/>
        <w:jc w:val="both"/>
        <w:rPr>
          <w:rFonts w:ascii="Times New Roman" w:hAnsi="Times New Roman"/>
          <w:sz w:val="24"/>
          <w:szCs w:val="24"/>
          <w:lang w:val="nl-NL"/>
        </w:rPr>
      </w:pPr>
      <w:r w:rsidRPr="009C053E">
        <w:rPr>
          <w:rFonts w:ascii="Times New Roman" w:hAnsi="Times New Roman"/>
          <w:sz w:val="24"/>
          <w:szCs w:val="24"/>
          <w:lang w:val="nl-NL"/>
        </w:rPr>
        <w:t>Tổng số chứng Quỹ phát hành thêm trong kỳ</w:t>
      </w:r>
      <w:r w:rsidRPr="009C053E">
        <w:rPr>
          <w:rFonts w:ascii="Times New Roman" w:hAnsi="Times New Roman"/>
          <w:sz w:val="24"/>
          <w:szCs w:val="24"/>
          <w:lang w:val="nl-NL"/>
        </w:rPr>
        <w:tab/>
        <w:t xml:space="preserve">: </w:t>
      </w:r>
      <w:r w:rsidR="0035694B" w:rsidRPr="009C053E">
        <w:rPr>
          <w:rFonts w:ascii="Times New Roman" w:hAnsi="Times New Roman"/>
          <w:sz w:val="24"/>
          <w:szCs w:val="24"/>
          <w:lang w:val="nl-NL"/>
        </w:rPr>
        <w:t xml:space="preserve">553,890.99 </w:t>
      </w:r>
      <w:r w:rsidRPr="009C053E">
        <w:rPr>
          <w:rFonts w:ascii="Times New Roman" w:hAnsi="Times New Roman"/>
          <w:sz w:val="24"/>
          <w:szCs w:val="24"/>
          <w:lang w:val="nl-NL"/>
        </w:rPr>
        <w:t>CCQ</w:t>
      </w:r>
    </w:p>
    <w:p w14:paraId="0C439529" w14:textId="7C660553" w:rsidR="00E842A8" w:rsidRDefault="00E842A8" w:rsidP="00047904">
      <w:pPr>
        <w:tabs>
          <w:tab w:val="left" w:pos="6120"/>
        </w:tabs>
        <w:spacing w:before="120" w:after="120"/>
        <w:ind w:left="450"/>
        <w:jc w:val="both"/>
        <w:rPr>
          <w:rFonts w:ascii="Times New Roman" w:hAnsi="Times New Roman"/>
          <w:sz w:val="24"/>
          <w:szCs w:val="24"/>
          <w:lang w:val="nl-NL"/>
        </w:rPr>
      </w:pPr>
      <w:r w:rsidRPr="009C053E">
        <w:rPr>
          <w:rFonts w:ascii="Times New Roman" w:hAnsi="Times New Roman"/>
          <w:sz w:val="24"/>
          <w:szCs w:val="24"/>
          <w:lang w:val="nl-NL"/>
        </w:rPr>
        <w:t>Tổng số chứng Quỹ mua lại trong kỳ</w:t>
      </w:r>
      <w:r w:rsidRPr="009C053E">
        <w:rPr>
          <w:rFonts w:ascii="Times New Roman" w:hAnsi="Times New Roman"/>
          <w:sz w:val="24"/>
          <w:szCs w:val="24"/>
          <w:lang w:val="nl-NL"/>
        </w:rPr>
        <w:tab/>
        <w:t xml:space="preserve">: </w:t>
      </w:r>
      <w:r w:rsidR="0035694B" w:rsidRPr="009C053E">
        <w:rPr>
          <w:rFonts w:ascii="Times New Roman" w:hAnsi="Times New Roman"/>
          <w:sz w:val="24"/>
          <w:szCs w:val="24"/>
          <w:lang w:val="nl-NL"/>
        </w:rPr>
        <w:t xml:space="preserve">176,377.24 </w:t>
      </w:r>
      <w:r w:rsidRPr="009C053E">
        <w:rPr>
          <w:rFonts w:ascii="Times New Roman" w:hAnsi="Times New Roman"/>
          <w:sz w:val="24"/>
          <w:szCs w:val="24"/>
          <w:lang w:val="nl-NL"/>
        </w:rPr>
        <w:t>CCQ</w:t>
      </w:r>
    </w:p>
    <w:p w14:paraId="70E72973" w14:textId="6F2E1AFC" w:rsidR="00047904" w:rsidRDefault="00047904" w:rsidP="00047904">
      <w:pPr>
        <w:tabs>
          <w:tab w:val="left" w:pos="6120"/>
        </w:tabs>
        <w:spacing w:before="120" w:after="120"/>
        <w:ind w:left="450"/>
        <w:jc w:val="both"/>
        <w:rPr>
          <w:rFonts w:ascii="Times New Roman" w:hAnsi="Times New Roman"/>
          <w:sz w:val="24"/>
          <w:szCs w:val="24"/>
          <w:lang w:val="nl-NL"/>
        </w:rPr>
      </w:pPr>
      <w:r w:rsidRPr="009C053E">
        <w:rPr>
          <w:rFonts w:ascii="Times New Roman" w:hAnsi="Times New Roman"/>
          <w:sz w:val="24"/>
          <w:szCs w:val="24"/>
          <w:lang w:val="nl-NL"/>
        </w:rPr>
        <w:t>Tổng số chứng chỉ Quỹ tại cuối ngày 31/12/2020</w:t>
      </w:r>
      <w:r w:rsidRPr="009C053E">
        <w:rPr>
          <w:rFonts w:ascii="Times New Roman" w:hAnsi="Times New Roman"/>
          <w:sz w:val="24"/>
          <w:szCs w:val="24"/>
          <w:lang w:val="nl-NL"/>
        </w:rPr>
        <w:tab/>
        <w:t>: 8,125,094.24  CCQ</w:t>
      </w:r>
    </w:p>
    <w:p w14:paraId="6B3D2B38" w14:textId="77777777"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b/>
          <w:bCs/>
          <w:sz w:val="24"/>
          <w:szCs w:val="24"/>
        </w:rPr>
      </w:pPr>
      <w:proofErr w:type="spellStart"/>
      <w:r w:rsidRPr="00D8620E">
        <w:rPr>
          <w:rFonts w:ascii="Times New Roman" w:hAnsi="Times New Roman"/>
          <w:sz w:val="24"/>
          <w:szCs w:val="24"/>
        </w:rPr>
        <w:t>Công</w:t>
      </w:r>
      <w:proofErr w:type="spellEnd"/>
      <w:r w:rsidRPr="00D8620E">
        <w:rPr>
          <w:rFonts w:ascii="Times New Roman" w:hAnsi="Times New Roman"/>
          <w:sz w:val="24"/>
          <w:szCs w:val="24"/>
        </w:rPr>
        <w:t xml:space="preserve"> ty </w:t>
      </w:r>
      <w:proofErr w:type="spellStart"/>
      <w:r w:rsidRPr="00D8620E">
        <w:rPr>
          <w:rFonts w:ascii="Times New Roman" w:hAnsi="Times New Roman"/>
          <w:sz w:val="24"/>
          <w:szCs w:val="24"/>
        </w:rPr>
        <w:t>Quản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lý</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vi </w:t>
      </w:r>
      <w:proofErr w:type="spellStart"/>
      <w:r w:rsidRPr="00D8620E">
        <w:rPr>
          <w:rFonts w:ascii="Times New Roman" w:hAnsi="Times New Roman"/>
          <w:sz w:val="24"/>
          <w:szCs w:val="24"/>
        </w:rPr>
        <w:t>phạm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quy</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định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Ngân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hàng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Giám</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sát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b/>
          <w:bCs/>
          <w:sz w:val="24"/>
          <w:szCs w:val="24"/>
        </w:rPr>
        <w:t>Không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14:paraId="24AFFA42" w14:textId="77777777" w:rsidR="00E842A8" w:rsidRPr="00D8620E" w:rsidRDefault="00E842A8" w:rsidP="00E842A8">
      <w:pPr>
        <w:numPr>
          <w:ilvl w:val="2"/>
          <w:numId w:val="13"/>
        </w:numPr>
        <w:tabs>
          <w:tab w:val="left" w:pos="450"/>
        </w:tabs>
        <w:spacing w:before="120" w:after="120" w:line="360" w:lineRule="auto"/>
        <w:ind w:left="450" w:hanging="450"/>
        <w:jc w:val="both"/>
        <w:rPr>
          <w:rFonts w:ascii="Times New Roman" w:hAnsi="Times New Roman"/>
          <w:sz w:val="24"/>
          <w:szCs w:val="24"/>
        </w:rPr>
      </w:pPr>
      <w:proofErr w:type="spellStart"/>
      <w:r w:rsidRPr="00D8620E">
        <w:rPr>
          <w:rFonts w:ascii="Times New Roman" w:hAnsi="Times New Roman"/>
          <w:sz w:val="24"/>
          <w:szCs w:val="24"/>
        </w:rPr>
        <w:t>Các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khác</w:t>
      </w:r>
      <w:proofErr w:type="spellEnd"/>
      <w:r w:rsidRPr="00D8620E">
        <w:rPr>
          <w:rFonts w:ascii="Times New Roman" w:hAnsi="Times New Roman"/>
          <w:sz w:val="24"/>
          <w:szCs w:val="24"/>
        </w:rPr>
        <w:t xml:space="preserve">: </w:t>
      </w:r>
      <w:proofErr w:type="spellStart"/>
      <w:r w:rsidRPr="00D8620E">
        <w:rPr>
          <w:rFonts w:ascii="Times New Roman" w:hAnsi="Times New Roman"/>
          <w:b/>
          <w:bCs/>
          <w:sz w:val="24"/>
          <w:szCs w:val="24"/>
        </w:rPr>
        <w:t>Không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có</w:t>
      </w:r>
      <w:proofErr w:type="spellEnd"/>
    </w:p>
    <w:p w14:paraId="62163E15" w14:textId="77777777" w:rsidR="00100534" w:rsidRPr="00D8620E" w:rsidRDefault="003B5D8B" w:rsidP="004352B7">
      <w:pPr>
        <w:tabs>
          <w:tab w:val="left" w:pos="426"/>
          <w:tab w:val="left" w:pos="1134"/>
        </w:tabs>
        <w:spacing w:before="120" w:after="120" w:line="300" w:lineRule="auto"/>
        <w:jc w:val="both"/>
        <w:rPr>
          <w:rFonts w:ascii="Times New Roman" w:hAnsi="Times New Roman"/>
          <w:b/>
          <w:sz w:val="24"/>
          <w:szCs w:val="24"/>
          <w:lang w:val="nl-NL"/>
        </w:rPr>
      </w:pPr>
      <w:r w:rsidRPr="00D8620E">
        <w:rPr>
          <w:rFonts w:ascii="Times New Roman" w:hAnsi="Times New Roman"/>
          <w:b/>
          <w:sz w:val="24"/>
          <w:szCs w:val="24"/>
          <w:lang w:val="nl-NL"/>
        </w:rPr>
        <w:t xml:space="preserve">5. </w:t>
      </w:r>
      <w:r w:rsidR="00100534" w:rsidRPr="00D8620E">
        <w:rPr>
          <w:rFonts w:ascii="Times New Roman" w:hAnsi="Times New Roman"/>
          <w:b/>
          <w:sz w:val="24"/>
          <w:szCs w:val="24"/>
          <w:lang w:val="nl-NL"/>
        </w:rPr>
        <w:t>Báo cáo về hoạt động ủy quyền</w:t>
      </w:r>
    </w:p>
    <w:p w14:paraId="0A588672" w14:textId="10C045E3" w:rsidR="00100534" w:rsidRPr="00D8620E" w:rsidRDefault="00100534" w:rsidP="004352B7">
      <w:pPr>
        <w:tabs>
          <w:tab w:val="left" w:pos="993"/>
        </w:tabs>
        <w:spacing w:before="120" w:after="120" w:line="312" w:lineRule="auto"/>
        <w:jc w:val="both"/>
        <w:rPr>
          <w:rFonts w:ascii="Times New Roman" w:hAnsi="Times New Roman"/>
          <w:sz w:val="24"/>
          <w:szCs w:val="24"/>
          <w:lang w:val="nl-NL"/>
        </w:rPr>
      </w:pPr>
      <w:r w:rsidRPr="00047904">
        <w:rPr>
          <w:rFonts w:ascii="Times New Roman" w:hAnsi="Times New Roman"/>
          <w:sz w:val="24"/>
          <w:szCs w:val="24"/>
          <w:lang w:val="nl-NL"/>
        </w:rPr>
        <w:t xml:space="preserve">a)  Chi phí phải trả cho bên nhận ủy quyền so với lợi nhuận, thu nhập, tổng chi phí hoạt động của </w:t>
      </w:r>
      <w:r w:rsidR="00B82976" w:rsidRPr="00047904">
        <w:rPr>
          <w:rFonts w:ascii="Times New Roman" w:hAnsi="Times New Roman"/>
          <w:sz w:val="24"/>
          <w:szCs w:val="24"/>
          <w:lang w:val="nl-NL"/>
        </w:rPr>
        <w:t>Q</w:t>
      </w:r>
      <w:r w:rsidRPr="00047904">
        <w:rPr>
          <w:rFonts w:ascii="Times New Roman" w:hAnsi="Times New Roman"/>
          <w:sz w:val="24"/>
          <w:szCs w:val="24"/>
          <w:lang w:val="nl-NL"/>
        </w:rPr>
        <w:t>uỹ</w:t>
      </w:r>
      <w:r w:rsidR="00047904">
        <w:rPr>
          <w:rFonts w:ascii="Times New Roman" w:hAnsi="Times New Roman"/>
          <w:sz w:val="24"/>
          <w:szCs w:val="24"/>
          <w:lang w:val="nl-NL"/>
        </w:rPr>
        <w:t xml:space="preserve"> trong năm 2020</w:t>
      </w:r>
      <w:r w:rsidR="003A0280" w:rsidRPr="00047904">
        <w:rPr>
          <w:rFonts w:ascii="Times New Roman" w:hAnsi="Times New Roman"/>
          <w:sz w:val="24"/>
          <w:szCs w:val="24"/>
          <w:lang w:val="nl-NL"/>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9"/>
        <w:gridCol w:w="1701"/>
        <w:gridCol w:w="1560"/>
        <w:gridCol w:w="2140"/>
      </w:tblGrid>
      <w:tr w:rsidR="003A0280" w:rsidRPr="00D8620E" w14:paraId="51CCD72B" w14:textId="77777777" w:rsidTr="00E250EA">
        <w:trPr>
          <w:trHeight w:val="660"/>
        </w:trPr>
        <w:tc>
          <w:tcPr>
            <w:tcW w:w="39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12A7C97" w14:textId="77777777" w:rsidR="003A0280" w:rsidRPr="00D8620E" w:rsidRDefault="003A0280" w:rsidP="004F236F">
            <w:pPr>
              <w:spacing w:before="120" w:after="120" w:line="240" w:lineRule="auto"/>
              <w:jc w:val="center"/>
              <w:rPr>
                <w:rFonts w:ascii="Times New Roman" w:eastAsia="Times New Roman" w:hAnsi="Times New Roman"/>
                <w:b/>
                <w:sz w:val="24"/>
                <w:szCs w:val="24"/>
                <w:lang w:val="nl-NL"/>
              </w:rPr>
            </w:pPr>
            <w:r w:rsidRPr="00D8620E">
              <w:rPr>
                <w:rFonts w:ascii="Times New Roman" w:eastAsia="Times New Roman" w:hAnsi="Times New Roman"/>
                <w:b/>
                <w:sz w:val="24"/>
                <w:szCs w:val="24"/>
                <w:lang w:val="nl-NL"/>
              </w:rPr>
              <w:t>Chi phí phải trả cho bên nhận ủy quyền</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5FA50AC" w14:textId="77777777" w:rsidR="003A0280" w:rsidRPr="00D8620E" w:rsidRDefault="003A0280" w:rsidP="004F236F">
            <w:pPr>
              <w:spacing w:before="120" w:after="120" w:line="240" w:lineRule="auto"/>
              <w:jc w:val="center"/>
              <w:rPr>
                <w:rFonts w:ascii="Times New Roman" w:eastAsia="Times New Roman" w:hAnsi="Times New Roman"/>
                <w:b/>
                <w:sz w:val="24"/>
                <w:szCs w:val="24"/>
              </w:rPr>
            </w:pPr>
            <w:proofErr w:type="spellStart"/>
            <w:r w:rsidRPr="00D8620E">
              <w:rPr>
                <w:rFonts w:ascii="Times New Roman" w:eastAsia="Times New Roman" w:hAnsi="Times New Roman"/>
                <w:b/>
                <w:sz w:val="24"/>
                <w:szCs w:val="24"/>
              </w:rPr>
              <w:t>Tỷ</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lệ</w:t>
            </w:r>
            <w:proofErr w:type="spellEnd"/>
            <w:r w:rsidRPr="00D8620E">
              <w:rPr>
                <w:rFonts w:ascii="Times New Roman" w:eastAsia="Times New Roman" w:hAnsi="Times New Roman"/>
                <w:b/>
                <w:sz w:val="24"/>
                <w:szCs w:val="24"/>
              </w:rPr>
              <w:t xml:space="preserve"> so </w:t>
            </w:r>
            <w:proofErr w:type="spellStart"/>
            <w:r w:rsidRPr="00D8620E">
              <w:rPr>
                <w:rFonts w:ascii="Times New Roman" w:eastAsia="Times New Roman" w:hAnsi="Times New Roman"/>
                <w:b/>
                <w:sz w:val="24"/>
                <w:szCs w:val="24"/>
              </w:rPr>
              <w:t>với</w:t>
            </w:r>
            <w:proofErr w:type="spellEnd"/>
            <w:r w:rsidRPr="00D8620E">
              <w:rPr>
                <w:rFonts w:ascii="Times New Roman" w:eastAsia="Times New Roman" w:hAnsi="Times New Roman"/>
                <w:b/>
                <w:sz w:val="24"/>
                <w:szCs w:val="24"/>
              </w:rPr>
              <w:t xml:space="preserve"> </w:t>
            </w:r>
            <w:r w:rsidRPr="00D8620E">
              <w:rPr>
                <w:rFonts w:ascii="Times New Roman" w:eastAsia="Times New Roman" w:hAnsi="Times New Roman"/>
                <w:b/>
                <w:sz w:val="24"/>
                <w:szCs w:val="24"/>
              </w:rPr>
              <w:br/>
            </w:r>
            <w:proofErr w:type="spellStart"/>
            <w:r w:rsidRPr="00D8620E">
              <w:rPr>
                <w:rFonts w:ascii="Times New Roman" w:eastAsia="Times New Roman" w:hAnsi="Times New Roman"/>
                <w:b/>
                <w:sz w:val="24"/>
                <w:szCs w:val="24"/>
              </w:rPr>
              <w:t>lợi</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nhuận</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EF5A994" w14:textId="77777777" w:rsidR="003A0280" w:rsidRPr="00D8620E" w:rsidRDefault="003A0280" w:rsidP="004F236F">
            <w:pPr>
              <w:spacing w:before="120" w:after="120" w:line="240" w:lineRule="auto"/>
              <w:jc w:val="center"/>
              <w:rPr>
                <w:rFonts w:ascii="Times New Roman" w:eastAsia="Times New Roman" w:hAnsi="Times New Roman"/>
                <w:b/>
                <w:sz w:val="24"/>
                <w:szCs w:val="24"/>
              </w:rPr>
            </w:pPr>
            <w:proofErr w:type="spellStart"/>
            <w:r w:rsidRPr="00D8620E">
              <w:rPr>
                <w:rFonts w:ascii="Times New Roman" w:eastAsia="Times New Roman" w:hAnsi="Times New Roman"/>
                <w:b/>
                <w:sz w:val="24"/>
                <w:szCs w:val="24"/>
              </w:rPr>
              <w:t>Tỷ</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lệ</w:t>
            </w:r>
            <w:proofErr w:type="spellEnd"/>
            <w:r w:rsidRPr="00D8620E">
              <w:rPr>
                <w:rFonts w:ascii="Times New Roman" w:eastAsia="Times New Roman" w:hAnsi="Times New Roman"/>
                <w:b/>
                <w:sz w:val="24"/>
                <w:szCs w:val="24"/>
              </w:rPr>
              <w:t xml:space="preserve"> so </w:t>
            </w:r>
            <w:proofErr w:type="spellStart"/>
            <w:r w:rsidRPr="00D8620E">
              <w:rPr>
                <w:rFonts w:ascii="Times New Roman" w:eastAsia="Times New Roman" w:hAnsi="Times New Roman"/>
                <w:b/>
                <w:sz w:val="24"/>
                <w:szCs w:val="24"/>
              </w:rPr>
              <w:t>với</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thu</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nhập</w:t>
            </w:r>
            <w:proofErr w:type="spellEnd"/>
          </w:p>
        </w:tc>
        <w:tc>
          <w:tcPr>
            <w:tcW w:w="21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17788EE" w14:textId="77777777" w:rsidR="003A0280" w:rsidRPr="00D8620E" w:rsidRDefault="003A0280" w:rsidP="004F236F">
            <w:pPr>
              <w:spacing w:before="120" w:after="120" w:line="240" w:lineRule="auto"/>
              <w:jc w:val="center"/>
              <w:rPr>
                <w:rFonts w:ascii="Times New Roman" w:eastAsia="Times New Roman" w:hAnsi="Times New Roman"/>
                <w:b/>
                <w:sz w:val="24"/>
                <w:szCs w:val="24"/>
              </w:rPr>
            </w:pPr>
            <w:proofErr w:type="spellStart"/>
            <w:r w:rsidRPr="00D8620E">
              <w:rPr>
                <w:rFonts w:ascii="Times New Roman" w:eastAsia="Times New Roman" w:hAnsi="Times New Roman"/>
                <w:b/>
                <w:sz w:val="24"/>
                <w:szCs w:val="24"/>
              </w:rPr>
              <w:t>Tỷ</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lệ</w:t>
            </w:r>
            <w:proofErr w:type="spellEnd"/>
            <w:r w:rsidRPr="00D8620E">
              <w:rPr>
                <w:rFonts w:ascii="Times New Roman" w:eastAsia="Times New Roman" w:hAnsi="Times New Roman"/>
                <w:b/>
                <w:sz w:val="24"/>
                <w:szCs w:val="24"/>
              </w:rPr>
              <w:t xml:space="preserve"> so </w:t>
            </w:r>
            <w:proofErr w:type="spellStart"/>
            <w:r w:rsidRPr="00D8620E">
              <w:rPr>
                <w:rFonts w:ascii="Times New Roman" w:eastAsia="Times New Roman" w:hAnsi="Times New Roman"/>
                <w:b/>
                <w:sz w:val="24"/>
                <w:szCs w:val="24"/>
              </w:rPr>
              <w:t>với</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Tổng</w:t>
            </w:r>
            <w:proofErr w:type="spellEnd"/>
            <w:r w:rsidRPr="00D8620E">
              <w:rPr>
                <w:rFonts w:ascii="Times New Roman" w:eastAsia="Times New Roman" w:hAnsi="Times New Roman"/>
                <w:b/>
                <w:sz w:val="24"/>
                <w:szCs w:val="24"/>
              </w:rPr>
              <w:t xml:space="preserve"> chi </w:t>
            </w:r>
            <w:proofErr w:type="spellStart"/>
            <w:r w:rsidRPr="00D8620E">
              <w:rPr>
                <w:rFonts w:ascii="Times New Roman" w:eastAsia="Times New Roman" w:hAnsi="Times New Roman"/>
                <w:b/>
                <w:sz w:val="24"/>
                <w:szCs w:val="24"/>
              </w:rPr>
              <w:t>phí</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hoạt</w:t>
            </w:r>
            <w:proofErr w:type="spellEnd"/>
            <w:r w:rsidRPr="00D8620E">
              <w:rPr>
                <w:rFonts w:ascii="Times New Roman" w:eastAsia="Times New Roman" w:hAnsi="Times New Roman"/>
                <w:b/>
                <w:sz w:val="24"/>
                <w:szCs w:val="24"/>
              </w:rPr>
              <w:t xml:space="preserve"> </w:t>
            </w:r>
            <w:proofErr w:type="spellStart"/>
            <w:r w:rsidRPr="00D8620E">
              <w:rPr>
                <w:rFonts w:ascii="Times New Roman" w:eastAsia="Times New Roman" w:hAnsi="Times New Roman"/>
                <w:b/>
                <w:sz w:val="24"/>
                <w:szCs w:val="24"/>
              </w:rPr>
              <w:t>động</w:t>
            </w:r>
            <w:proofErr w:type="spellEnd"/>
          </w:p>
        </w:tc>
      </w:tr>
      <w:tr w:rsidR="00047904" w:rsidRPr="00D8620E" w14:paraId="7E4B90AC" w14:textId="77777777" w:rsidTr="00DC7023">
        <w:trPr>
          <w:trHeight w:val="494"/>
        </w:trPr>
        <w:tc>
          <w:tcPr>
            <w:tcW w:w="3959" w:type="dxa"/>
            <w:tcBorders>
              <w:top w:val="single" w:sz="4" w:space="0" w:color="auto"/>
              <w:left w:val="single" w:sz="4" w:space="0" w:color="auto"/>
              <w:bottom w:val="single" w:sz="4" w:space="0" w:color="auto"/>
              <w:right w:val="single" w:sz="4" w:space="0" w:color="auto"/>
            </w:tcBorders>
            <w:vAlign w:val="center"/>
            <w:hideMark/>
          </w:tcPr>
          <w:p w14:paraId="3A677C1D" w14:textId="77777777" w:rsidR="00047904" w:rsidRPr="00D8620E" w:rsidRDefault="00047904" w:rsidP="00047904">
            <w:pPr>
              <w:spacing w:before="120" w:after="120" w:line="240" w:lineRule="auto"/>
              <w:jc w:val="both"/>
              <w:rPr>
                <w:rFonts w:ascii="Times New Roman" w:eastAsia="Times New Roman" w:hAnsi="Times New Roman"/>
                <w:sz w:val="24"/>
                <w:szCs w:val="24"/>
              </w:rPr>
            </w:pPr>
            <w:proofErr w:type="spellStart"/>
            <w:r w:rsidRPr="00D8620E">
              <w:rPr>
                <w:rFonts w:ascii="Times New Roman" w:eastAsia="Times New Roman" w:hAnsi="Times New Roman"/>
                <w:sz w:val="24"/>
                <w:szCs w:val="24"/>
              </w:rPr>
              <w:t>Phí</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dịch</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vụ</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quản</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trị</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Quỹ</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mở</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F11492A" w14:textId="4EF00947" w:rsidR="00047904" w:rsidRPr="00D8620E" w:rsidRDefault="00047904" w:rsidP="00047904">
            <w:pPr>
              <w:spacing w:before="120" w:after="120" w:line="240" w:lineRule="auto"/>
              <w:jc w:val="center"/>
              <w:rPr>
                <w:rFonts w:ascii="Times New Roman" w:eastAsia="Times New Roman" w:hAnsi="Times New Roman"/>
                <w:sz w:val="24"/>
                <w:szCs w:val="24"/>
              </w:rPr>
            </w:pPr>
            <w:r>
              <w:rPr>
                <w:rFonts w:cs="Calibri"/>
                <w:color w:val="000000"/>
              </w:rPr>
              <w:t>0.80%</w:t>
            </w:r>
          </w:p>
        </w:tc>
        <w:tc>
          <w:tcPr>
            <w:tcW w:w="1560" w:type="dxa"/>
            <w:tcBorders>
              <w:top w:val="single" w:sz="4" w:space="0" w:color="auto"/>
              <w:left w:val="single" w:sz="4" w:space="0" w:color="auto"/>
              <w:bottom w:val="single" w:sz="4" w:space="0" w:color="auto"/>
              <w:right w:val="single" w:sz="4" w:space="0" w:color="auto"/>
            </w:tcBorders>
            <w:vAlign w:val="center"/>
          </w:tcPr>
          <w:p w14:paraId="4530A7ED" w14:textId="567A3C7B" w:rsidR="00047904" w:rsidRPr="00D8620E" w:rsidRDefault="00047904" w:rsidP="00047904">
            <w:pPr>
              <w:spacing w:before="120" w:after="120" w:line="240" w:lineRule="auto"/>
              <w:jc w:val="center"/>
              <w:rPr>
                <w:rFonts w:ascii="Times New Roman" w:eastAsia="Times New Roman" w:hAnsi="Times New Roman"/>
                <w:sz w:val="24"/>
                <w:szCs w:val="24"/>
              </w:rPr>
            </w:pPr>
            <w:r>
              <w:rPr>
                <w:rFonts w:cs="Calibri"/>
                <w:color w:val="000000"/>
              </w:rPr>
              <w:t>0.70%</w:t>
            </w:r>
          </w:p>
        </w:tc>
        <w:tc>
          <w:tcPr>
            <w:tcW w:w="2140" w:type="dxa"/>
            <w:tcBorders>
              <w:top w:val="single" w:sz="4" w:space="0" w:color="auto"/>
              <w:left w:val="single" w:sz="4" w:space="0" w:color="auto"/>
              <w:bottom w:val="single" w:sz="4" w:space="0" w:color="auto"/>
              <w:right w:val="single" w:sz="4" w:space="0" w:color="auto"/>
            </w:tcBorders>
            <w:vAlign w:val="center"/>
          </w:tcPr>
          <w:p w14:paraId="76A6F680" w14:textId="03F17928" w:rsidR="00047904" w:rsidRPr="00D8620E" w:rsidRDefault="00047904" w:rsidP="00047904">
            <w:pPr>
              <w:spacing w:before="120" w:after="120" w:line="240" w:lineRule="auto"/>
              <w:jc w:val="center"/>
              <w:rPr>
                <w:rFonts w:ascii="Times New Roman" w:eastAsia="Times New Roman" w:hAnsi="Times New Roman"/>
                <w:sz w:val="24"/>
                <w:szCs w:val="24"/>
              </w:rPr>
            </w:pPr>
            <w:r>
              <w:rPr>
                <w:rFonts w:cs="Calibri"/>
                <w:color w:val="000000"/>
              </w:rPr>
              <w:t>5.44%</w:t>
            </w:r>
          </w:p>
        </w:tc>
      </w:tr>
      <w:tr w:rsidR="00047904" w:rsidRPr="00D8620E" w14:paraId="1B7191E4" w14:textId="77777777" w:rsidTr="00DC7023">
        <w:trPr>
          <w:trHeight w:val="449"/>
        </w:trPr>
        <w:tc>
          <w:tcPr>
            <w:tcW w:w="3959" w:type="dxa"/>
            <w:tcBorders>
              <w:top w:val="single" w:sz="4" w:space="0" w:color="auto"/>
              <w:left w:val="single" w:sz="4" w:space="0" w:color="auto"/>
              <w:bottom w:val="single" w:sz="4" w:space="0" w:color="auto"/>
              <w:right w:val="single" w:sz="4" w:space="0" w:color="auto"/>
            </w:tcBorders>
            <w:vAlign w:val="center"/>
            <w:hideMark/>
          </w:tcPr>
          <w:p w14:paraId="33FA0036" w14:textId="77777777" w:rsidR="00047904" w:rsidRPr="00D8620E" w:rsidRDefault="00047904" w:rsidP="00047904">
            <w:pPr>
              <w:spacing w:before="120" w:after="120" w:line="240" w:lineRule="auto"/>
              <w:jc w:val="both"/>
              <w:rPr>
                <w:rFonts w:ascii="Times New Roman" w:eastAsia="Times New Roman" w:hAnsi="Times New Roman"/>
                <w:sz w:val="24"/>
                <w:szCs w:val="24"/>
              </w:rPr>
            </w:pPr>
            <w:proofErr w:type="spellStart"/>
            <w:r w:rsidRPr="00D8620E">
              <w:rPr>
                <w:rFonts w:ascii="Times New Roman" w:eastAsia="Times New Roman" w:hAnsi="Times New Roman"/>
                <w:sz w:val="24"/>
                <w:szCs w:val="24"/>
              </w:rPr>
              <w:t>Phí</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dịch</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vụ</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Đại</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lý</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chuyển</w:t>
            </w:r>
            <w:proofErr w:type="spellEnd"/>
            <w:r w:rsidRPr="00D8620E">
              <w:rPr>
                <w:rFonts w:ascii="Times New Roman" w:eastAsia="Times New Roman" w:hAnsi="Times New Roman"/>
                <w:sz w:val="24"/>
                <w:szCs w:val="24"/>
              </w:rPr>
              <w:t xml:space="preserve"> </w:t>
            </w:r>
            <w:proofErr w:type="spellStart"/>
            <w:r w:rsidRPr="00D8620E">
              <w:rPr>
                <w:rFonts w:ascii="Times New Roman" w:eastAsia="Times New Roman" w:hAnsi="Times New Roman"/>
                <w:sz w:val="24"/>
                <w:szCs w:val="24"/>
              </w:rPr>
              <w:t>nhượng</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8E6D67C" w14:textId="5B78FD2F" w:rsidR="00047904" w:rsidRPr="00D8620E" w:rsidRDefault="00047904" w:rsidP="00047904">
            <w:pPr>
              <w:spacing w:before="120" w:after="120" w:line="240" w:lineRule="auto"/>
              <w:jc w:val="center"/>
              <w:rPr>
                <w:rFonts w:ascii="Times New Roman" w:eastAsia="Times New Roman" w:hAnsi="Times New Roman"/>
                <w:sz w:val="24"/>
                <w:szCs w:val="24"/>
              </w:rPr>
            </w:pPr>
            <w:r>
              <w:rPr>
                <w:rFonts w:cs="Calibri"/>
                <w:color w:val="000000"/>
              </w:rPr>
              <w:t>0.98%</w:t>
            </w:r>
          </w:p>
        </w:tc>
        <w:tc>
          <w:tcPr>
            <w:tcW w:w="1560" w:type="dxa"/>
            <w:tcBorders>
              <w:top w:val="single" w:sz="4" w:space="0" w:color="auto"/>
              <w:left w:val="single" w:sz="4" w:space="0" w:color="auto"/>
              <w:bottom w:val="single" w:sz="4" w:space="0" w:color="auto"/>
              <w:right w:val="single" w:sz="4" w:space="0" w:color="auto"/>
            </w:tcBorders>
            <w:vAlign w:val="center"/>
          </w:tcPr>
          <w:p w14:paraId="6ABF15BB" w14:textId="4F791F9E" w:rsidR="00047904" w:rsidRPr="00D8620E" w:rsidRDefault="00047904" w:rsidP="00047904">
            <w:pPr>
              <w:spacing w:before="120" w:after="120" w:line="240" w:lineRule="auto"/>
              <w:jc w:val="center"/>
              <w:rPr>
                <w:rFonts w:ascii="Times New Roman" w:eastAsia="Times New Roman" w:hAnsi="Times New Roman"/>
                <w:sz w:val="24"/>
                <w:szCs w:val="24"/>
              </w:rPr>
            </w:pPr>
            <w:r>
              <w:rPr>
                <w:rFonts w:cs="Calibri"/>
                <w:color w:val="000000"/>
              </w:rPr>
              <w:t>0.85%</w:t>
            </w:r>
          </w:p>
        </w:tc>
        <w:tc>
          <w:tcPr>
            <w:tcW w:w="2140" w:type="dxa"/>
            <w:tcBorders>
              <w:top w:val="single" w:sz="4" w:space="0" w:color="auto"/>
              <w:left w:val="single" w:sz="4" w:space="0" w:color="auto"/>
              <w:bottom w:val="single" w:sz="4" w:space="0" w:color="auto"/>
              <w:right w:val="single" w:sz="4" w:space="0" w:color="auto"/>
            </w:tcBorders>
            <w:vAlign w:val="center"/>
          </w:tcPr>
          <w:p w14:paraId="3FB19A19" w14:textId="54870D2B" w:rsidR="00047904" w:rsidRPr="00D8620E" w:rsidRDefault="00047904" w:rsidP="00047904">
            <w:pPr>
              <w:spacing w:before="120" w:after="120" w:line="240" w:lineRule="auto"/>
              <w:jc w:val="center"/>
              <w:rPr>
                <w:rFonts w:ascii="Times New Roman" w:eastAsia="Times New Roman" w:hAnsi="Times New Roman"/>
                <w:sz w:val="24"/>
                <w:szCs w:val="24"/>
              </w:rPr>
            </w:pPr>
            <w:r>
              <w:rPr>
                <w:rFonts w:cs="Calibri"/>
                <w:color w:val="000000"/>
              </w:rPr>
              <w:t>6.63%</w:t>
            </w:r>
          </w:p>
        </w:tc>
      </w:tr>
    </w:tbl>
    <w:p w14:paraId="6EF6A560" w14:textId="77777777" w:rsidR="00100534" w:rsidRPr="00047904" w:rsidRDefault="00100534" w:rsidP="004352B7">
      <w:pPr>
        <w:tabs>
          <w:tab w:val="left" w:pos="993"/>
        </w:tabs>
        <w:spacing w:before="120" w:after="120" w:line="312" w:lineRule="auto"/>
        <w:jc w:val="both"/>
        <w:rPr>
          <w:rFonts w:ascii="Times New Roman" w:hAnsi="Times New Roman"/>
          <w:b/>
          <w:sz w:val="24"/>
          <w:szCs w:val="24"/>
          <w:lang w:val="nl-NL"/>
        </w:rPr>
      </w:pPr>
      <w:r w:rsidRPr="00047904">
        <w:rPr>
          <w:rFonts w:ascii="Times New Roman" w:hAnsi="Times New Roman"/>
          <w:sz w:val="24"/>
          <w:szCs w:val="24"/>
          <w:lang w:val="nl-NL"/>
        </w:rPr>
        <w:t xml:space="preserve">b)  Các ảnh hưởng (nếu có) của hoạt động ủy quyền tới lợi nhuận, mức độ rủi ro của </w:t>
      </w:r>
      <w:r w:rsidR="00B82976" w:rsidRPr="00047904">
        <w:rPr>
          <w:rFonts w:ascii="Times New Roman" w:hAnsi="Times New Roman"/>
          <w:sz w:val="24"/>
          <w:szCs w:val="24"/>
          <w:lang w:val="nl-NL"/>
        </w:rPr>
        <w:t>Q</w:t>
      </w:r>
      <w:r w:rsidRPr="00047904">
        <w:rPr>
          <w:rFonts w:ascii="Times New Roman" w:hAnsi="Times New Roman"/>
          <w:sz w:val="24"/>
          <w:szCs w:val="24"/>
          <w:lang w:val="nl-NL"/>
        </w:rPr>
        <w:t>uỹ</w:t>
      </w:r>
      <w:r w:rsidR="003A0280" w:rsidRPr="00047904">
        <w:rPr>
          <w:rFonts w:ascii="Times New Roman" w:hAnsi="Times New Roman"/>
          <w:sz w:val="24"/>
          <w:szCs w:val="24"/>
          <w:lang w:val="nl-NL"/>
        </w:rPr>
        <w:t xml:space="preserve">: </w:t>
      </w:r>
      <w:r w:rsidR="00AC01E9" w:rsidRPr="00047904">
        <w:rPr>
          <w:rFonts w:ascii="Times New Roman" w:hAnsi="Times New Roman"/>
          <w:b/>
          <w:i/>
          <w:sz w:val="24"/>
          <w:szCs w:val="24"/>
          <w:lang w:val="nl-NL"/>
        </w:rPr>
        <w:t>K</w:t>
      </w:r>
      <w:r w:rsidR="003A0280" w:rsidRPr="00047904">
        <w:rPr>
          <w:rFonts w:ascii="Times New Roman" w:hAnsi="Times New Roman"/>
          <w:b/>
          <w:i/>
          <w:sz w:val="24"/>
          <w:szCs w:val="24"/>
          <w:lang w:val="nl-NL"/>
        </w:rPr>
        <w:t>hông có</w:t>
      </w:r>
    </w:p>
    <w:p w14:paraId="07335402" w14:textId="77777777" w:rsidR="00100534" w:rsidRPr="00D8620E" w:rsidRDefault="00100534" w:rsidP="004352B7">
      <w:pPr>
        <w:tabs>
          <w:tab w:val="left" w:pos="993"/>
        </w:tabs>
        <w:spacing w:before="120" w:after="120" w:line="312" w:lineRule="auto"/>
        <w:jc w:val="both"/>
        <w:rPr>
          <w:rFonts w:ascii="Times New Roman" w:hAnsi="Times New Roman"/>
          <w:sz w:val="24"/>
          <w:szCs w:val="24"/>
          <w:lang w:val="nl-NL"/>
        </w:rPr>
      </w:pPr>
      <w:r w:rsidRPr="00047904">
        <w:rPr>
          <w:rFonts w:ascii="Times New Roman" w:hAnsi="Times New Roman"/>
          <w:sz w:val="24"/>
          <w:szCs w:val="24"/>
          <w:lang w:val="nl-NL"/>
        </w:rPr>
        <w:t xml:space="preserve">c)  Tổng chi phí các hoạt động ủy quyền phải trả cho bên nhận ủy quyền (trường hợp bên nhận ủy quyền cung cấp nhiều dịch vụ cho </w:t>
      </w:r>
      <w:r w:rsidR="00B82976" w:rsidRPr="00047904">
        <w:rPr>
          <w:rFonts w:ascii="Times New Roman" w:hAnsi="Times New Roman"/>
          <w:sz w:val="24"/>
          <w:szCs w:val="24"/>
          <w:lang w:val="nl-NL"/>
        </w:rPr>
        <w:t>C</w:t>
      </w:r>
      <w:r w:rsidRPr="00047904">
        <w:rPr>
          <w:rFonts w:ascii="Times New Roman" w:hAnsi="Times New Roman"/>
          <w:sz w:val="24"/>
          <w:szCs w:val="24"/>
          <w:lang w:val="nl-NL"/>
        </w:rPr>
        <w:t xml:space="preserve">ông ty </w:t>
      </w:r>
      <w:r w:rsidR="00B82976" w:rsidRPr="00047904">
        <w:rPr>
          <w:rFonts w:ascii="Times New Roman" w:hAnsi="Times New Roman"/>
          <w:sz w:val="24"/>
          <w:szCs w:val="24"/>
          <w:lang w:val="nl-NL"/>
        </w:rPr>
        <w:t>Q</w:t>
      </w:r>
      <w:r w:rsidRPr="00047904">
        <w:rPr>
          <w:rFonts w:ascii="Times New Roman" w:hAnsi="Times New Roman"/>
          <w:sz w:val="24"/>
          <w:szCs w:val="24"/>
          <w:lang w:val="nl-NL"/>
        </w:rPr>
        <w:t xml:space="preserve">uản lý </w:t>
      </w:r>
      <w:r w:rsidR="00B82976" w:rsidRPr="00047904">
        <w:rPr>
          <w:rFonts w:ascii="Times New Roman" w:hAnsi="Times New Roman"/>
          <w:sz w:val="24"/>
          <w:szCs w:val="24"/>
          <w:lang w:val="nl-NL"/>
        </w:rPr>
        <w:t>Q</w:t>
      </w:r>
      <w:r w:rsidRPr="00047904">
        <w:rPr>
          <w:rFonts w:ascii="Times New Roman" w:hAnsi="Times New Roman"/>
          <w:sz w:val="24"/>
          <w:szCs w:val="24"/>
          <w:lang w:val="nl-NL"/>
        </w:rPr>
        <w:t>uỹ)</w:t>
      </w:r>
    </w:p>
    <w:p w14:paraId="572A7537" w14:textId="77777777" w:rsidR="003A0280" w:rsidRDefault="003A0280" w:rsidP="004352B7">
      <w:pPr>
        <w:tabs>
          <w:tab w:val="left" w:pos="540"/>
          <w:tab w:val="left" w:pos="1134"/>
        </w:tabs>
        <w:spacing w:before="120" w:after="120" w:line="240" w:lineRule="auto"/>
        <w:jc w:val="both"/>
        <w:rPr>
          <w:rFonts w:ascii="Times New Roman" w:eastAsia="Times New Roman" w:hAnsi="Times New Roman"/>
          <w:sz w:val="24"/>
          <w:szCs w:val="24"/>
          <w:lang w:val="nl-NL"/>
        </w:rPr>
      </w:pPr>
      <w:r w:rsidRPr="00D8620E">
        <w:rPr>
          <w:rFonts w:ascii="Times New Roman" w:eastAsia="Times New Roman" w:hAnsi="Times New Roman"/>
          <w:sz w:val="24"/>
          <w:szCs w:val="24"/>
          <w:lang w:val="nl-NL"/>
        </w:rPr>
        <w:t xml:space="preserve">Chi phí các hoạt động ủy quyền bao gồm dịch vụ </w:t>
      </w:r>
      <w:r w:rsidR="00B82976" w:rsidRPr="00D8620E">
        <w:rPr>
          <w:rFonts w:ascii="Times New Roman" w:eastAsia="Times New Roman" w:hAnsi="Times New Roman"/>
          <w:sz w:val="24"/>
          <w:szCs w:val="24"/>
          <w:lang w:val="nl-NL"/>
        </w:rPr>
        <w:t>Q</w:t>
      </w:r>
      <w:r w:rsidRPr="00D8620E">
        <w:rPr>
          <w:rFonts w:ascii="Times New Roman" w:eastAsia="Times New Roman" w:hAnsi="Times New Roman"/>
          <w:sz w:val="24"/>
          <w:szCs w:val="24"/>
          <w:lang w:val="nl-NL"/>
        </w:rPr>
        <w:t xml:space="preserve">uản trị </w:t>
      </w:r>
      <w:r w:rsidR="00B82976" w:rsidRPr="00D8620E">
        <w:rPr>
          <w:rFonts w:ascii="Times New Roman" w:eastAsia="Times New Roman" w:hAnsi="Times New Roman"/>
          <w:sz w:val="24"/>
          <w:szCs w:val="24"/>
          <w:lang w:val="nl-NL"/>
        </w:rPr>
        <w:t>Q</w:t>
      </w:r>
      <w:r w:rsidRPr="00D8620E">
        <w:rPr>
          <w:rFonts w:ascii="Times New Roman" w:eastAsia="Times New Roman" w:hAnsi="Times New Roman"/>
          <w:sz w:val="24"/>
          <w:szCs w:val="24"/>
          <w:lang w:val="nl-NL"/>
        </w:rPr>
        <w:t xml:space="preserve">uỹ và dịch vụ </w:t>
      </w:r>
      <w:r w:rsidR="00B82976" w:rsidRPr="00D8620E">
        <w:rPr>
          <w:rFonts w:ascii="Times New Roman" w:eastAsia="Times New Roman" w:hAnsi="Times New Roman"/>
          <w:sz w:val="24"/>
          <w:szCs w:val="24"/>
          <w:lang w:val="nl-NL"/>
        </w:rPr>
        <w:t>Đ</w:t>
      </w:r>
      <w:r w:rsidRPr="00D8620E">
        <w:rPr>
          <w:rFonts w:ascii="Times New Roman" w:eastAsia="Times New Roman" w:hAnsi="Times New Roman"/>
          <w:sz w:val="24"/>
          <w:szCs w:val="24"/>
          <w:lang w:val="nl-NL"/>
        </w:rPr>
        <w:t>ại lý chuyển nhượng phải trả cho bên nhận ủy quyền – Ngân hàng TNHH một thành viên HSBC (Việt Nam) từ ngày 0</w:t>
      </w:r>
      <w:r w:rsidR="0035694B">
        <w:rPr>
          <w:rFonts w:ascii="Times New Roman" w:eastAsia="Times New Roman" w:hAnsi="Times New Roman"/>
          <w:sz w:val="24"/>
          <w:szCs w:val="24"/>
          <w:lang w:val="nl-NL"/>
        </w:rPr>
        <w:t>1</w:t>
      </w:r>
      <w:r w:rsidRPr="00D8620E">
        <w:rPr>
          <w:rFonts w:ascii="Times New Roman" w:eastAsia="Times New Roman" w:hAnsi="Times New Roman"/>
          <w:sz w:val="24"/>
          <w:szCs w:val="24"/>
          <w:lang w:val="nl-NL"/>
        </w:rPr>
        <w:t>/01/20</w:t>
      </w:r>
      <w:r w:rsidR="0035694B">
        <w:rPr>
          <w:rFonts w:ascii="Times New Roman" w:eastAsia="Times New Roman" w:hAnsi="Times New Roman"/>
          <w:sz w:val="24"/>
          <w:szCs w:val="24"/>
          <w:lang w:val="nl-NL"/>
        </w:rPr>
        <w:t>20</w:t>
      </w:r>
      <w:r w:rsidRPr="00D8620E">
        <w:rPr>
          <w:rFonts w:ascii="Times New Roman" w:eastAsia="Times New Roman" w:hAnsi="Times New Roman"/>
          <w:sz w:val="24"/>
          <w:szCs w:val="24"/>
          <w:lang w:val="nl-NL"/>
        </w:rPr>
        <w:t xml:space="preserve"> đến </w:t>
      </w:r>
      <w:r w:rsidR="00E842A8" w:rsidRPr="00D8620E">
        <w:rPr>
          <w:rFonts w:ascii="Times New Roman" w:eastAsia="Times New Roman" w:hAnsi="Times New Roman"/>
          <w:sz w:val="24"/>
          <w:szCs w:val="24"/>
          <w:lang w:val="nl-NL"/>
        </w:rPr>
        <w:t>31/12</w:t>
      </w:r>
      <w:r w:rsidRPr="00D8620E">
        <w:rPr>
          <w:rFonts w:ascii="Times New Roman" w:eastAsia="Times New Roman" w:hAnsi="Times New Roman"/>
          <w:sz w:val="24"/>
          <w:szCs w:val="24"/>
          <w:lang w:val="nl-NL"/>
        </w:rPr>
        <w:t>/20</w:t>
      </w:r>
      <w:r w:rsidR="0035694B">
        <w:rPr>
          <w:rFonts w:ascii="Times New Roman" w:eastAsia="Times New Roman" w:hAnsi="Times New Roman"/>
          <w:sz w:val="24"/>
          <w:szCs w:val="24"/>
          <w:lang w:val="nl-NL"/>
        </w:rPr>
        <w:t>20</w:t>
      </w:r>
      <w:r w:rsidRPr="00D8620E">
        <w:rPr>
          <w:rFonts w:ascii="Times New Roman" w:eastAsia="Times New Roman" w:hAnsi="Times New Roman"/>
          <w:sz w:val="24"/>
          <w:szCs w:val="24"/>
          <w:lang w:val="nl-NL"/>
        </w:rPr>
        <w:t xml:space="preserve"> như sau:</w:t>
      </w:r>
    </w:p>
    <w:p w14:paraId="12DFAA6E" w14:textId="77777777" w:rsidR="00835733" w:rsidRPr="00D8620E" w:rsidRDefault="00835733" w:rsidP="004352B7">
      <w:pPr>
        <w:tabs>
          <w:tab w:val="left" w:pos="540"/>
          <w:tab w:val="left" w:pos="1134"/>
        </w:tabs>
        <w:spacing w:before="120" w:after="120" w:line="240" w:lineRule="auto"/>
        <w:jc w:val="both"/>
        <w:rPr>
          <w:rFonts w:ascii="Times New Roman" w:eastAsia="Times New Roman" w:hAnsi="Times New Roman"/>
          <w:sz w:val="24"/>
          <w:szCs w:val="24"/>
          <w:lang w:val="nl-NL"/>
        </w:rPr>
      </w:pPr>
    </w:p>
    <w:tbl>
      <w:tblPr>
        <w:tblW w:w="9360" w:type="dxa"/>
        <w:tblInd w:w="5" w:type="dxa"/>
        <w:tblCellMar>
          <w:left w:w="0" w:type="dxa"/>
          <w:right w:w="0" w:type="dxa"/>
        </w:tblCellMar>
        <w:tblLook w:val="04A0" w:firstRow="1" w:lastRow="0" w:firstColumn="1" w:lastColumn="0" w:noHBand="0" w:noVBand="1"/>
      </w:tblPr>
      <w:tblGrid>
        <w:gridCol w:w="5580"/>
        <w:gridCol w:w="3780"/>
      </w:tblGrid>
      <w:tr w:rsidR="00E842A8" w:rsidRPr="00D8620E" w14:paraId="3812E75A" w14:textId="77777777" w:rsidTr="0035694B">
        <w:trPr>
          <w:trHeight w:val="330"/>
        </w:trPr>
        <w:tc>
          <w:tcPr>
            <w:tcW w:w="5580" w:type="dxa"/>
            <w:tcBorders>
              <w:top w:val="single" w:sz="4" w:space="0" w:color="auto"/>
              <w:left w:val="single" w:sz="4" w:space="0" w:color="auto"/>
              <w:bottom w:val="single" w:sz="4" w:space="0" w:color="auto"/>
              <w:right w:val="single" w:sz="4" w:space="0" w:color="auto"/>
            </w:tcBorders>
            <w:vAlign w:val="center"/>
            <w:hideMark/>
          </w:tcPr>
          <w:p w14:paraId="299A0392" w14:textId="77777777" w:rsidR="00E842A8" w:rsidRPr="00D8620E" w:rsidRDefault="00E842A8" w:rsidP="00E842A8">
            <w:pPr>
              <w:spacing w:before="120" w:after="120" w:line="240" w:lineRule="auto"/>
              <w:ind w:firstLine="90"/>
              <w:jc w:val="both"/>
              <w:rPr>
                <w:rFonts w:ascii="Times New Roman" w:hAnsi="Times New Roman"/>
                <w:sz w:val="24"/>
                <w:szCs w:val="24"/>
                <w:lang w:val="nl-NL"/>
              </w:rPr>
            </w:pPr>
            <w:r w:rsidRPr="00D8620E">
              <w:rPr>
                <w:rFonts w:ascii="Times New Roman" w:hAnsi="Times New Roman"/>
                <w:sz w:val="24"/>
                <w:szCs w:val="24"/>
                <w:lang w:val="nl-NL"/>
              </w:rPr>
              <w:lastRenderedPageBreak/>
              <w:t>Phí dịch vụ quản trị Quỹ mở (VND)</w:t>
            </w:r>
          </w:p>
        </w:tc>
        <w:tc>
          <w:tcPr>
            <w:tcW w:w="3780" w:type="dxa"/>
            <w:tcBorders>
              <w:top w:val="single" w:sz="4" w:space="0" w:color="auto"/>
              <w:left w:val="nil"/>
              <w:bottom w:val="single" w:sz="4" w:space="0" w:color="auto"/>
              <w:right w:val="single" w:sz="4" w:space="0" w:color="auto"/>
            </w:tcBorders>
          </w:tcPr>
          <w:p w14:paraId="1487C811" w14:textId="1FC41688" w:rsidR="00E842A8" w:rsidRPr="00D8620E" w:rsidRDefault="00B3774D" w:rsidP="00E842A8">
            <w:pPr>
              <w:spacing w:before="120" w:after="120" w:line="240" w:lineRule="auto"/>
              <w:jc w:val="center"/>
              <w:rPr>
                <w:rFonts w:ascii="Times New Roman" w:eastAsia="Times New Roman" w:hAnsi="Times New Roman"/>
                <w:sz w:val="24"/>
                <w:szCs w:val="24"/>
              </w:rPr>
            </w:pPr>
            <w:r w:rsidRPr="00B3774D">
              <w:rPr>
                <w:rFonts w:ascii="Times New Roman" w:eastAsia="Times New Roman" w:hAnsi="Times New Roman"/>
                <w:sz w:val="24"/>
                <w:szCs w:val="24"/>
              </w:rPr>
              <w:t>145,200,006</w:t>
            </w:r>
          </w:p>
        </w:tc>
      </w:tr>
      <w:tr w:rsidR="00E842A8" w:rsidRPr="00D8620E" w14:paraId="68F9F90C" w14:textId="77777777" w:rsidTr="0035694B">
        <w:trPr>
          <w:trHeight w:val="330"/>
        </w:trPr>
        <w:tc>
          <w:tcPr>
            <w:tcW w:w="5580" w:type="dxa"/>
            <w:tcBorders>
              <w:top w:val="nil"/>
              <w:left w:val="single" w:sz="4" w:space="0" w:color="auto"/>
              <w:bottom w:val="single" w:sz="4" w:space="0" w:color="auto"/>
              <w:right w:val="single" w:sz="4" w:space="0" w:color="auto"/>
            </w:tcBorders>
            <w:vAlign w:val="center"/>
            <w:hideMark/>
          </w:tcPr>
          <w:p w14:paraId="484243DB" w14:textId="77777777" w:rsidR="00E842A8" w:rsidRPr="00D8620E" w:rsidRDefault="00E842A8" w:rsidP="00E842A8">
            <w:pPr>
              <w:spacing w:before="120" w:after="120" w:line="240" w:lineRule="auto"/>
              <w:ind w:firstLine="90"/>
              <w:jc w:val="both"/>
              <w:rPr>
                <w:rFonts w:ascii="Times New Roman" w:hAnsi="Times New Roman"/>
                <w:sz w:val="24"/>
                <w:szCs w:val="24"/>
                <w:lang w:val="nl-NL"/>
              </w:rPr>
            </w:pPr>
            <w:r w:rsidRPr="00D8620E">
              <w:rPr>
                <w:rFonts w:ascii="Times New Roman" w:hAnsi="Times New Roman"/>
                <w:sz w:val="24"/>
                <w:szCs w:val="24"/>
                <w:lang w:val="nl-NL"/>
              </w:rPr>
              <w:t>Phí dịch vụ Đại lý chuyển nhượng (VND)</w:t>
            </w:r>
          </w:p>
        </w:tc>
        <w:tc>
          <w:tcPr>
            <w:tcW w:w="3780" w:type="dxa"/>
            <w:tcBorders>
              <w:top w:val="single" w:sz="4" w:space="0" w:color="auto"/>
              <w:left w:val="nil"/>
              <w:bottom w:val="single" w:sz="4" w:space="0" w:color="auto"/>
              <w:right w:val="single" w:sz="4" w:space="0" w:color="auto"/>
            </w:tcBorders>
          </w:tcPr>
          <w:p w14:paraId="3132126F" w14:textId="54C5578D" w:rsidR="00E842A8" w:rsidRPr="00D8620E" w:rsidRDefault="00B3774D" w:rsidP="00E842A8">
            <w:pPr>
              <w:spacing w:before="120" w:after="120" w:line="240" w:lineRule="auto"/>
              <w:jc w:val="center"/>
              <w:rPr>
                <w:rFonts w:ascii="Times New Roman" w:eastAsia="Times New Roman" w:hAnsi="Times New Roman"/>
                <w:sz w:val="24"/>
                <w:szCs w:val="24"/>
              </w:rPr>
            </w:pPr>
            <w:r w:rsidRPr="00B3774D">
              <w:rPr>
                <w:rFonts w:ascii="Times New Roman" w:eastAsia="Times New Roman" w:hAnsi="Times New Roman"/>
                <w:sz w:val="24"/>
                <w:szCs w:val="24"/>
              </w:rPr>
              <w:t>177,083,044</w:t>
            </w:r>
          </w:p>
        </w:tc>
      </w:tr>
      <w:tr w:rsidR="00E842A8" w:rsidRPr="00D8620E" w14:paraId="035356F1" w14:textId="77777777" w:rsidTr="0035694B">
        <w:trPr>
          <w:trHeight w:val="233"/>
        </w:trPr>
        <w:tc>
          <w:tcPr>
            <w:tcW w:w="5580" w:type="dxa"/>
            <w:tcBorders>
              <w:top w:val="nil"/>
              <w:left w:val="single" w:sz="4" w:space="0" w:color="auto"/>
              <w:bottom w:val="single" w:sz="4" w:space="0" w:color="auto"/>
              <w:right w:val="single" w:sz="4" w:space="0" w:color="auto"/>
            </w:tcBorders>
            <w:vAlign w:val="center"/>
            <w:hideMark/>
          </w:tcPr>
          <w:p w14:paraId="58D4418F" w14:textId="77777777" w:rsidR="00E842A8" w:rsidRPr="00D8620E" w:rsidRDefault="00E842A8" w:rsidP="00E842A8">
            <w:pPr>
              <w:spacing w:before="120" w:after="120" w:line="240" w:lineRule="auto"/>
              <w:ind w:firstLine="90"/>
              <w:jc w:val="both"/>
              <w:rPr>
                <w:rFonts w:ascii="Times New Roman" w:hAnsi="Times New Roman"/>
                <w:b/>
                <w:bCs/>
                <w:sz w:val="24"/>
                <w:szCs w:val="24"/>
              </w:rPr>
            </w:pPr>
            <w:proofErr w:type="spellStart"/>
            <w:r w:rsidRPr="00D8620E">
              <w:rPr>
                <w:rFonts w:ascii="Times New Roman" w:hAnsi="Times New Roman"/>
                <w:b/>
                <w:bCs/>
                <w:sz w:val="24"/>
                <w:szCs w:val="24"/>
              </w:rPr>
              <w:t>Tổng</w:t>
            </w:r>
            <w:proofErr w:type="spellEnd"/>
            <w:r w:rsidRPr="00D8620E">
              <w:rPr>
                <w:rFonts w:ascii="Times New Roman" w:hAnsi="Times New Roman"/>
                <w:b/>
                <w:bCs/>
                <w:sz w:val="24"/>
                <w:szCs w:val="24"/>
              </w:rPr>
              <w:t xml:space="preserve"> </w:t>
            </w:r>
            <w:proofErr w:type="spellStart"/>
            <w:r w:rsidRPr="00D8620E">
              <w:rPr>
                <w:rFonts w:ascii="Times New Roman" w:hAnsi="Times New Roman"/>
                <w:b/>
                <w:bCs/>
                <w:sz w:val="24"/>
                <w:szCs w:val="24"/>
              </w:rPr>
              <w:t>cộng</w:t>
            </w:r>
            <w:proofErr w:type="spellEnd"/>
            <w:r w:rsidRPr="00D8620E">
              <w:rPr>
                <w:rFonts w:ascii="Times New Roman" w:hAnsi="Times New Roman"/>
                <w:b/>
                <w:bCs/>
                <w:sz w:val="24"/>
                <w:szCs w:val="24"/>
              </w:rPr>
              <w:t xml:space="preserve"> (VND)</w:t>
            </w:r>
          </w:p>
        </w:tc>
        <w:tc>
          <w:tcPr>
            <w:tcW w:w="3780" w:type="dxa"/>
            <w:tcBorders>
              <w:top w:val="single" w:sz="4" w:space="0" w:color="auto"/>
              <w:left w:val="nil"/>
              <w:bottom w:val="single" w:sz="4" w:space="0" w:color="auto"/>
              <w:right w:val="single" w:sz="4" w:space="0" w:color="auto"/>
            </w:tcBorders>
          </w:tcPr>
          <w:p w14:paraId="61E402FC" w14:textId="27603794" w:rsidR="00E842A8" w:rsidRPr="00D8620E" w:rsidRDefault="00B3774D" w:rsidP="00E842A8">
            <w:pPr>
              <w:spacing w:before="120" w:after="120" w:line="240" w:lineRule="auto"/>
              <w:jc w:val="center"/>
              <w:rPr>
                <w:rFonts w:ascii="Times New Roman" w:eastAsia="Times New Roman" w:hAnsi="Times New Roman"/>
                <w:b/>
                <w:bCs/>
                <w:sz w:val="24"/>
                <w:szCs w:val="24"/>
              </w:rPr>
            </w:pPr>
            <w:r w:rsidRPr="00B3774D">
              <w:rPr>
                <w:rFonts w:ascii="Times New Roman" w:eastAsia="Times New Roman" w:hAnsi="Times New Roman"/>
                <w:b/>
                <w:bCs/>
                <w:sz w:val="24"/>
                <w:szCs w:val="24"/>
              </w:rPr>
              <w:t>322,283,050</w:t>
            </w:r>
          </w:p>
        </w:tc>
      </w:tr>
    </w:tbl>
    <w:p w14:paraId="6D0C2C7C" w14:textId="77777777" w:rsidR="006D7719" w:rsidRPr="00D8620E" w:rsidRDefault="006D7719" w:rsidP="006D7719">
      <w:pPr>
        <w:spacing w:before="120" w:after="120"/>
        <w:ind w:firstLine="1"/>
        <w:jc w:val="both"/>
        <w:rPr>
          <w:rFonts w:ascii="Times New Roman" w:hAnsi="Times New Roman"/>
          <w:sz w:val="24"/>
          <w:szCs w:val="24"/>
          <w:lang w:val="nl-NL"/>
        </w:rPr>
      </w:pPr>
      <w:r w:rsidRPr="00047904">
        <w:rPr>
          <w:rFonts w:ascii="Times New Roman" w:hAnsi="Times New Roman"/>
          <w:sz w:val="24"/>
          <w:szCs w:val="24"/>
          <w:lang w:val="nl-NL"/>
        </w:rPr>
        <w:t>d)  Trong quá trình hoạt động của Quỹ, Công ty cho rằng dịch vụ Quản trị Quỹ, Đại lý Chuyển nhượng của Ngân hàng TNHH Một thành viên HSBC (Việt Nam) vẫn đáp ứng theo yêu cầu về khả năng duy trì hệ thống kiểm soát nội bộ, quản trị rủi ro, tính bảo mật, hạ tầng cơ sở vật chất kỹ thuật, hệ thống dự phòng nóng, hệ thống dự phòng thảm họa, bảo đảm hoạt động ủy quyền cung cấp các dịch vụ Quản trị Quỹ và Đại lý Chuyển nhượng cho Quỹ Đầu tư Tăng trưởng DFVN (DFVN-CAF) được thực hiện thông suốt, không gây ảnh hưởng tới hoạt động đầu tư của nhà đầu tư.</w:t>
      </w:r>
      <w:r w:rsidRPr="00D8620E">
        <w:rPr>
          <w:rFonts w:ascii="Times New Roman" w:hAnsi="Times New Roman"/>
          <w:sz w:val="24"/>
          <w:szCs w:val="24"/>
          <w:lang w:val="nl-NL"/>
        </w:rPr>
        <w:t xml:space="preserve"> </w:t>
      </w:r>
    </w:p>
    <w:p w14:paraId="05FEC544" w14:textId="77777777" w:rsidR="00100534" w:rsidRDefault="00100534" w:rsidP="00100534">
      <w:pPr>
        <w:tabs>
          <w:tab w:val="left" w:pos="993"/>
        </w:tabs>
        <w:spacing w:after="0" w:line="312" w:lineRule="auto"/>
        <w:jc w:val="both"/>
        <w:rPr>
          <w:rFonts w:ascii="Times New Roman" w:hAnsi="Times New Roman"/>
          <w:sz w:val="24"/>
          <w:szCs w:val="24"/>
          <w:lang w:val="nl-NL"/>
        </w:rPr>
      </w:pPr>
    </w:p>
    <w:p w14:paraId="19E27E53" w14:textId="77777777" w:rsidR="00835733" w:rsidRPr="00D8620E" w:rsidRDefault="00835733" w:rsidP="00100534">
      <w:pPr>
        <w:tabs>
          <w:tab w:val="left" w:pos="993"/>
        </w:tabs>
        <w:spacing w:after="0" w:line="312" w:lineRule="auto"/>
        <w:jc w:val="both"/>
        <w:rPr>
          <w:rFonts w:ascii="Times New Roman" w:hAnsi="Times New Roman"/>
          <w:sz w:val="24"/>
          <w:szCs w:val="24"/>
          <w:lang w:val="nl-NL"/>
        </w:rPr>
      </w:pPr>
    </w:p>
    <w:tbl>
      <w:tblPr>
        <w:tblW w:w="9252" w:type="dxa"/>
        <w:tblInd w:w="108" w:type="dxa"/>
        <w:tblLook w:val="01E0" w:firstRow="1" w:lastRow="1" w:firstColumn="1" w:lastColumn="1" w:noHBand="0" w:noVBand="0"/>
      </w:tblPr>
      <w:tblGrid>
        <w:gridCol w:w="4556"/>
        <w:gridCol w:w="4696"/>
      </w:tblGrid>
      <w:tr w:rsidR="00100534" w:rsidRPr="00D8620E" w14:paraId="14C21E46" w14:textId="77777777" w:rsidTr="004F236F">
        <w:tc>
          <w:tcPr>
            <w:tcW w:w="4556" w:type="dxa"/>
          </w:tcPr>
          <w:p w14:paraId="2114E79B" w14:textId="77777777" w:rsidR="00100534" w:rsidRPr="00D8620E" w:rsidRDefault="00100534" w:rsidP="000E5BC9">
            <w:pPr>
              <w:spacing w:after="0" w:line="300" w:lineRule="auto"/>
              <w:jc w:val="both"/>
              <w:rPr>
                <w:rFonts w:ascii="Times New Roman" w:hAnsi="Times New Roman"/>
                <w:b/>
                <w:i/>
                <w:sz w:val="24"/>
                <w:szCs w:val="24"/>
                <w:lang w:val="nl-NL"/>
              </w:rPr>
            </w:pPr>
          </w:p>
        </w:tc>
        <w:tc>
          <w:tcPr>
            <w:tcW w:w="4696" w:type="dxa"/>
          </w:tcPr>
          <w:p w14:paraId="3A05FAA7" w14:textId="77777777" w:rsidR="00100534" w:rsidRPr="00D8620E" w:rsidRDefault="00100534" w:rsidP="000E5BC9">
            <w:pPr>
              <w:spacing w:after="0" w:line="300" w:lineRule="auto"/>
              <w:jc w:val="center"/>
              <w:rPr>
                <w:rFonts w:ascii="Times New Roman" w:hAnsi="Times New Roman"/>
                <w:b/>
                <w:bCs/>
                <w:sz w:val="24"/>
                <w:szCs w:val="24"/>
                <w:lang w:val="nl-NL"/>
              </w:rPr>
            </w:pPr>
            <w:r w:rsidRPr="00D8620E">
              <w:rPr>
                <w:rFonts w:ascii="Times New Roman" w:hAnsi="Times New Roman"/>
                <w:b/>
                <w:bCs/>
                <w:sz w:val="24"/>
                <w:szCs w:val="24"/>
                <w:lang w:val="nl-NL"/>
              </w:rPr>
              <w:t>Tổng Giám đốc Công ty quản lý quỹ</w:t>
            </w:r>
          </w:p>
          <w:p w14:paraId="126DAE3D" w14:textId="77777777" w:rsidR="00100534" w:rsidRPr="00D8620E" w:rsidRDefault="004F236F" w:rsidP="000E5BC9">
            <w:pPr>
              <w:spacing w:after="0" w:line="300" w:lineRule="auto"/>
              <w:jc w:val="center"/>
              <w:rPr>
                <w:rFonts w:ascii="Times New Roman" w:hAnsi="Times New Roman"/>
                <w:i/>
                <w:sz w:val="24"/>
                <w:szCs w:val="24"/>
                <w:lang w:val="nl-NL"/>
              </w:rPr>
            </w:pPr>
            <w:r w:rsidRPr="00D8620E">
              <w:rPr>
                <w:rFonts w:ascii="Times New Roman" w:hAnsi="Times New Roman"/>
                <w:i/>
                <w:sz w:val="24"/>
                <w:szCs w:val="24"/>
                <w:lang w:val="nl-NL"/>
              </w:rPr>
              <w:t>Trần Châu Danh</w:t>
            </w:r>
          </w:p>
        </w:tc>
      </w:tr>
    </w:tbl>
    <w:p w14:paraId="76101B2C" w14:textId="77777777" w:rsidR="00F45234" w:rsidRPr="00D8620E" w:rsidRDefault="00047904">
      <w:pPr>
        <w:rPr>
          <w:rFonts w:ascii="Times New Roman" w:hAnsi="Times New Roman"/>
          <w:sz w:val="24"/>
          <w:szCs w:val="24"/>
        </w:rPr>
      </w:pPr>
    </w:p>
    <w:sectPr w:rsidR="00F45234" w:rsidRPr="00D86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F37D4"/>
    <w:multiLevelType w:val="hybridMultilevel"/>
    <w:tmpl w:val="01B4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3144"/>
    <w:multiLevelType w:val="hybridMultilevel"/>
    <w:tmpl w:val="A156C73E"/>
    <w:lvl w:ilvl="0" w:tplc="FE2201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39074D"/>
    <w:multiLevelType w:val="hybridMultilevel"/>
    <w:tmpl w:val="D3FAC414"/>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665523E"/>
    <w:multiLevelType w:val="hybridMultilevel"/>
    <w:tmpl w:val="273EDDF0"/>
    <w:lvl w:ilvl="0" w:tplc="CB005032">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F484B"/>
    <w:multiLevelType w:val="hybridMultilevel"/>
    <w:tmpl w:val="3020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16E7F"/>
    <w:multiLevelType w:val="hybridMultilevel"/>
    <w:tmpl w:val="D78A666C"/>
    <w:lvl w:ilvl="0" w:tplc="84DC6E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07C4"/>
    <w:multiLevelType w:val="hybridMultilevel"/>
    <w:tmpl w:val="5784C46A"/>
    <w:lvl w:ilvl="0" w:tplc="C3E83D2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A576CE5"/>
    <w:multiLevelType w:val="hybridMultilevel"/>
    <w:tmpl w:val="D77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75D3B"/>
    <w:multiLevelType w:val="hybridMultilevel"/>
    <w:tmpl w:val="35D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156AE5"/>
    <w:multiLevelType w:val="hybridMultilevel"/>
    <w:tmpl w:val="C59EB80A"/>
    <w:lvl w:ilvl="0" w:tplc="F522A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133D7"/>
    <w:multiLevelType w:val="hybridMultilevel"/>
    <w:tmpl w:val="F1141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A1DA9"/>
    <w:multiLevelType w:val="hybridMultilevel"/>
    <w:tmpl w:val="0AEC7F08"/>
    <w:lvl w:ilvl="0" w:tplc="8EE09956">
      <w:numFmt w:val="bullet"/>
      <w:lvlText w:val="-"/>
      <w:lvlJc w:val="left"/>
      <w:pPr>
        <w:ind w:left="720" w:hanging="360"/>
      </w:pPr>
      <w:rPr>
        <w:rFonts w:ascii="Times New Roman" w:eastAsiaTheme="minorHAns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DD3186"/>
    <w:multiLevelType w:val="hybridMultilevel"/>
    <w:tmpl w:val="55BEC1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DE13A88"/>
    <w:multiLevelType w:val="hybridMultilevel"/>
    <w:tmpl w:val="813EC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DB670D"/>
    <w:multiLevelType w:val="hybridMultilevel"/>
    <w:tmpl w:val="68560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25499C"/>
    <w:multiLevelType w:val="hybridMultilevel"/>
    <w:tmpl w:val="CBE0D6DC"/>
    <w:lvl w:ilvl="0" w:tplc="70DC07EA">
      <w:start w:val="1"/>
      <w:numFmt w:val="upperRoman"/>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D">
      <w:start w:val="1"/>
      <w:numFmt w:val="bullet"/>
      <w:lvlText w:val=""/>
      <w:lvlJc w:val="left"/>
      <w:pPr>
        <w:ind w:left="2880" w:hanging="360"/>
      </w:pPr>
      <w:rPr>
        <w:rFonts w:ascii="Wingdings" w:hAnsi="Wingdings" w:hint="default"/>
      </w:rPr>
    </w:lvl>
    <w:lvl w:ilvl="4" w:tplc="2022F94C">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773A8"/>
    <w:multiLevelType w:val="hybridMultilevel"/>
    <w:tmpl w:val="27007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3732"/>
    <w:multiLevelType w:val="hybridMultilevel"/>
    <w:tmpl w:val="0C40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772BE"/>
    <w:multiLevelType w:val="hybridMultilevel"/>
    <w:tmpl w:val="D714C36A"/>
    <w:lvl w:ilvl="0" w:tplc="F57091E8">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243C5E"/>
    <w:multiLevelType w:val="hybridMultilevel"/>
    <w:tmpl w:val="169238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5729FE"/>
    <w:multiLevelType w:val="hybridMultilevel"/>
    <w:tmpl w:val="459C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F59CC"/>
    <w:multiLevelType w:val="hybridMultilevel"/>
    <w:tmpl w:val="A91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20B6"/>
    <w:multiLevelType w:val="hybridMultilevel"/>
    <w:tmpl w:val="27F6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268AC"/>
    <w:multiLevelType w:val="hybridMultilevel"/>
    <w:tmpl w:val="7BC48B9C"/>
    <w:lvl w:ilvl="0" w:tplc="DD28E652">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
  </w:num>
  <w:num w:numId="2">
    <w:abstractNumId w:val="19"/>
  </w:num>
  <w:num w:numId="3">
    <w:abstractNumId w:val="6"/>
  </w:num>
  <w:num w:numId="4">
    <w:abstractNumId w:val="24"/>
  </w:num>
  <w:num w:numId="5">
    <w:abstractNumId w:val="3"/>
  </w:num>
  <w:num w:numId="6">
    <w:abstractNumId w:val="1"/>
  </w:num>
  <w:num w:numId="7">
    <w:abstractNumId w:val="5"/>
  </w:num>
  <w:num w:numId="8">
    <w:abstractNumId w:val="11"/>
  </w:num>
  <w:num w:numId="9">
    <w:abstractNumId w:val="14"/>
  </w:num>
  <w:num w:numId="10">
    <w:abstractNumId w:val="9"/>
  </w:num>
  <w:num w:numId="11">
    <w:abstractNumId w:val="21"/>
  </w:num>
  <w:num w:numId="12">
    <w:abstractNumId w:val="12"/>
  </w:num>
  <w:num w:numId="13">
    <w:abstractNumId w:val="16"/>
  </w:num>
  <w:num w:numId="14">
    <w:abstractNumId w:val="22"/>
  </w:num>
  <w:num w:numId="15">
    <w:abstractNumId w:val="2"/>
  </w:num>
  <w:num w:numId="16">
    <w:abstractNumId w:val="8"/>
  </w:num>
  <w:num w:numId="17">
    <w:abstractNumId w:val="18"/>
  </w:num>
  <w:num w:numId="18">
    <w:abstractNumId w:val="0"/>
  </w:num>
  <w:num w:numId="19">
    <w:abstractNumId w:val="15"/>
  </w:num>
  <w:num w:numId="20">
    <w:abstractNumId w:val="7"/>
  </w:num>
  <w:num w:numId="21">
    <w:abstractNumId w:val="24"/>
  </w:num>
  <w:num w:numId="22">
    <w:abstractNumId w:val="13"/>
  </w:num>
  <w:num w:numId="23">
    <w:abstractNumId w:val="4"/>
  </w:num>
  <w:num w:numId="24">
    <w:abstractNumId w:val="20"/>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34"/>
    <w:rsid w:val="00047904"/>
    <w:rsid w:val="00055B7B"/>
    <w:rsid w:val="00063E75"/>
    <w:rsid w:val="00081E5D"/>
    <w:rsid w:val="000A2248"/>
    <w:rsid w:val="000B0D9A"/>
    <w:rsid w:val="000B55D2"/>
    <w:rsid w:val="00100534"/>
    <w:rsid w:val="001123FF"/>
    <w:rsid w:val="00175F80"/>
    <w:rsid w:val="001B5889"/>
    <w:rsid w:val="001C0E26"/>
    <w:rsid w:val="001C6461"/>
    <w:rsid w:val="0020125F"/>
    <w:rsid w:val="00201527"/>
    <w:rsid w:val="002072C5"/>
    <w:rsid w:val="002648BD"/>
    <w:rsid w:val="002A7FEF"/>
    <w:rsid w:val="002D2B08"/>
    <w:rsid w:val="002E7553"/>
    <w:rsid w:val="00330B67"/>
    <w:rsid w:val="0035046B"/>
    <w:rsid w:val="00355F1F"/>
    <w:rsid w:val="0035694B"/>
    <w:rsid w:val="00365443"/>
    <w:rsid w:val="003A0280"/>
    <w:rsid w:val="003B5D8B"/>
    <w:rsid w:val="003B6725"/>
    <w:rsid w:val="00412027"/>
    <w:rsid w:val="00433D7C"/>
    <w:rsid w:val="004352B7"/>
    <w:rsid w:val="0048282A"/>
    <w:rsid w:val="004C5374"/>
    <w:rsid w:val="004D7F59"/>
    <w:rsid w:val="004F236F"/>
    <w:rsid w:val="00540C7D"/>
    <w:rsid w:val="00570567"/>
    <w:rsid w:val="005925D5"/>
    <w:rsid w:val="005A634F"/>
    <w:rsid w:val="00645123"/>
    <w:rsid w:val="00674D8E"/>
    <w:rsid w:val="006A422D"/>
    <w:rsid w:val="006B18C5"/>
    <w:rsid w:val="006D13AA"/>
    <w:rsid w:val="006D7719"/>
    <w:rsid w:val="006F4FB4"/>
    <w:rsid w:val="00730F2E"/>
    <w:rsid w:val="007413D2"/>
    <w:rsid w:val="00743A96"/>
    <w:rsid w:val="00780773"/>
    <w:rsid w:val="00797427"/>
    <w:rsid w:val="007B0A16"/>
    <w:rsid w:val="007D5FD9"/>
    <w:rsid w:val="007F7157"/>
    <w:rsid w:val="00803D05"/>
    <w:rsid w:val="008324C6"/>
    <w:rsid w:val="00835733"/>
    <w:rsid w:val="00874918"/>
    <w:rsid w:val="0087495C"/>
    <w:rsid w:val="008818F9"/>
    <w:rsid w:val="00903EF1"/>
    <w:rsid w:val="00953F4D"/>
    <w:rsid w:val="009B55A4"/>
    <w:rsid w:val="009C053E"/>
    <w:rsid w:val="00A87211"/>
    <w:rsid w:val="00AA2CB5"/>
    <w:rsid w:val="00AC01E9"/>
    <w:rsid w:val="00AC06E2"/>
    <w:rsid w:val="00AC7511"/>
    <w:rsid w:val="00AE6D17"/>
    <w:rsid w:val="00AF243A"/>
    <w:rsid w:val="00AF33F0"/>
    <w:rsid w:val="00B27B45"/>
    <w:rsid w:val="00B3774D"/>
    <w:rsid w:val="00B66FAD"/>
    <w:rsid w:val="00B82976"/>
    <w:rsid w:val="00B92906"/>
    <w:rsid w:val="00B95218"/>
    <w:rsid w:val="00BA7E94"/>
    <w:rsid w:val="00BC38CC"/>
    <w:rsid w:val="00BD7CEF"/>
    <w:rsid w:val="00C0699B"/>
    <w:rsid w:val="00C503F3"/>
    <w:rsid w:val="00C61033"/>
    <w:rsid w:val="00CD76F9"/>
    <w:rsid w:val="00CE15F6"/>
    <w:rsid w:val="00D60277"/>
    <w:rsid w:val="00D827C2"/>
    <w:rsid w:val="00D8620E"/>
    <w:rsid w:val="00DD5A6A"/>
    <w:rsid w:val="00E20EFB"/>
    <w:rsid w:val="00E250EA"/>
    <w:rsid w:val="00E265CF"/>
    <w:rsid w:val="00E737D0"/>
    <w:rsid w:val="00E83C48"/>
    <w:rsid w:val="00E842A8"/>
    <w:rsid w:val="00EB1EC6"/>
    <w:rsid w:val="00EC050A"/>
    <w:rsid w:val="00EC3454"/>
    <w:rsid w:val="00EE16D8"/>
    <w:rsid w:val="00F04462"/>
    <w:rsid w:val="00F14AC7"/>
    <w:rsid w:val="00F27D08"/>
    <w:rsid w:val="00F466BE"/>
    <w:rsid w:val="00F52B87"/>
    <w:rsid w:val="00F563AC"/>
    <w:rsid w:val="00FE0D43"/>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B806"/>
  <w15:docId w15:val="{B68A17DE-00B5-46F9-9E28-A081069A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0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34"/>
    <w:pPr>
      <w:ind w:left="720"/>
      <w:contextualSpacing/>
    </w:pPr>
  </w:style>
  <w:style w:type="paragraph" w:styleId="BalloonText">
    <w:name w:val="Balloon Text"/>
    <w:basedOn w:val="Normal"/>
    <w:link w:val="BalloonTextChar"/>
    <w:uiPriority w:val="99"/>
    <w:semiHidden/>
    <w:unhideWhenUsed/>
    <w:rsid w:val="00063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75"/>
    <w:rPr>
      <w:rFonts w:ascii="Segoe UI" w:eastAsia="Calibri" w:hAnsi="Segoe UI" w:cs="Segoe UI"/>
      <w:sz w:val="18"/>
      <w:szCs w:val="18"/>
    </w:rPr>
  </w:style>
  <w:style w:type="table" w:styleId="TableGrid">
    <w:name w:val="Table Grid"/>
    <w:basedOn w:val="TableNormal"/>
    <w:uiPriority w:val="59"/>
    <w:rsid w:val="00AA2C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2CB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857289">
      <w:bodyDiv w:val="1"/>
      <w:marLeft w:val="0"/>
      <w:marRight w:val="0"/>
      <w:marTop w:val="0"/>
      <w:marBottom w:val="0"/>
      <w:divBdr>
        <w:top w:val="none" w:sz="0" w:space="0" w:color="auto"/>
        <w:left w:val="none" w:sz="0" w:space="0" w:color="auto"/>
        <w:bottom w:val="none" w:sz="0" w:space="0" w:color="auto"/>
        <w:right w:val="none" w:sz="0" w:space="0" w:color="auto"/>
      </w:divBdr>
    </w:div>
    <w:div w:id="265383285">
      <w:bodyDiv w:val="1"/>
      <w:marLeft w:val="0"/>
      <w:marRight w:val="0"/>
      <w:marTop w:val="0"/>
      <w:marBottom w:val="0"/>
      <w:divBdr>
        <w:top w:val="none" w:sz="0" w:space="0" w:color="auto"/>
        <w:left w:val="none" w:sz="0" w:space="0" w:color="auto"/>
        <w:bottom w:val="none" w:sz="0" w:space="0" w:color="auto"/>
        <w:right w:val="none" w:sz="0" w:space="0" w:color="auto"/>
      </w:divBdr>
    </w:div>
    <w:div w:id="523206128">
      <w:bodyDiv w:val="1"/>
      <w:marLeft w:val="0"/>
      <w:marRight w:val="0"/>
      <w:marTop w:val="0"/>
      <w:marBottom w:val="0"/>
      <w:divBdr>
        <w:top w:val="none" w:sz="0" w:space="0" w:color="auto"/>
        <w:left w:val="none" w:sz="0" w:space="0" w:color="auto"/>
        <w:bottom w:val="none" w:sz="0" w:space="0" w:color="auto"/>
        <w:right w:val="none" w:sz="0" w:space="0" w:color="auto"/>
      </w:divBdr>
    </w:div>
    <w:div w:id="552037274">
      <w:bodyDiv w:val="1"/>
      <w:marLeft w:val="0"/>
      <w:marRight w:val="0"/>
      <w:marTop w:val="0"/>
      <w:marBottom w:val="0"/>
      <w:divBdr>
        <w:top w:val="none" w:sz="0" w:space="0" w:color="auto"/>
        <w:left w:val="none" w:sz="0" w:space="0" w:color="auto"/>
        <w:bottom w:val="none" w:sz="0" w:space="0" w:color="auto"/>
        <w:right w:val="none" w:sz="0" w:space="0" w:color="auto"/>
      </w:divBdr>
    </w:div>
    <w:div w:id="612443402">
      <w:bodyDiv w:val="1"/>
      <w:marLeft w:val="0"/>
      <w:marRight w:val="0"/>
      <w:marTop w:val="0"/>
      <w:marBottom w:val="0"/>
      <w:divBdr>
        <w:top w:val="none" w:sz="0" w:space="0" w:color="auto"/>
        <w:left w:val="none" w:sz="0" w:space="0" w:color="auto"/>
        <w:bottom w:val="none" w:sz="0" w:space="0" w:color="auto"/>
        <w:right w:val="none" w:sz="0" w:space="0" w:color="auto"/>
      </w:divBdr>
    </w:div>
    <w:div w:id="686754508">
      <w:bodyDiv w:val="1"/>
      <w:marLeft w:val="0"/>
      <w:marRight w:val="0"/>
      <w:marTop w:val="0"/>
      <w:marBottom w:val="0"/>
      <w:divBdr>
        <w:top w:val="none" w:sz="0" w:space="0" w:color="auto"/>
        <w:left w:val="none" w:sz="0" w:space="0" w:color="auto"/>
        <w:bottom w:val="none" w:sz="0" w:space="0" w:color="auto"/>
        <w:right w:val="none" w:sz="0" w:space="0" w:color="auto"/>
      </w:divBdr>
    </w:div>
    <w:div w:id="706954242">
      <w:bodyDiv w:val="1"/>
      <w:marLeft w:val="0"/>
      <w:marRight w:val="0"/>
      <w:marTop w:val="0"/>
      <w:marBottom w:val="0"/>
      <w:divBdr>
        <w:top w:val="none" w:sz="0" w:space="0" w:color="auto"/>
        <w:left w:val="none" w:sz="0" w:space="0" w:color="auto"/>
        <w:bottom w:val="none" w:sz="0" w:space="0" w:color="auto"/>
        <w:right w:val="none" w:sz="0" w:space="0" w:color="auto"/>
      </w:divBdr>
    </w:div>
    <w:div w:id="785349194">
      <w:bodyDiv w:val="1"/>
      <w:marLeft w:val="0"/>
      <w:marRight w:val="0"/>
      <w:marTop w:val="0"/>
      <w:marBottom w:val="0"/>
      <w:divBdr>
        <w:top w:val="none" w:sz="0" w:space="0" w:color="auto"/>
        <w:left w:val="none" w:sz="0" w:space="0" w:color="auto"/>
        <w:bottom w:val="none" w:sz="0" w:space="0" w:color="auto"/>
        <w:right w:val="none" w:sz="0" w:space="0" w:color="auto"/>
      </w:divBdr>
    </w:div>
    <w:div w:id="923875801">
      <w:bodyDiv w:val="1"/>
      <w:marLeft w:val="0"/>
      <w:marRight w:val="0"/>
      <w:marTop w:val="0"/>
      <w:marBottom w:val="0"/>
      <w:divBdr>
        <w:top w:val="none" w:sz="0" w:space="0" w:color="auto"/>
        <w:left w:val="none" w:sz="0" w:space="0" w:color="auto"/>
        <w:bottom w:val="none" w:sz="0" w:space="0" w:color="auto"/>
        <w:right w:val="none" w:sz="0" w:space="0" w:color="auto"/>
      </w:divBdr>
    </w:div>
    <w:div w:id="936711690">
      <w:bodyDiv w:val="1"/>
      <w:marLeft w:val="0"/>
      <w:marRight w:val="0"/>
      <w:marTop w:val="0"/>
      <w:marBottom w:val="0"/>
      <w:divBdr>
        <w:top w:val="none" w:sz="0" w:space="0" w:color="auto"/>
        <w:left w:val="none" w:sz="0" w:space="0" w:color="auto"/>
        <w:bottom w:val="none" w:sz="0" w:space="0" w:color="auto"/>
        <w:right w:val="none" w:sz="0" w:space="0" w:color="auto"/>
      </w:divBdr>
    </w:div>
    <w:div w:id="1008142147">
      <w:bodyDiv w:val="1"/>
      <w:marLeft w:val="0"/>
      <w:marRight w:val="0"/>
      <w:marTop w:val="0"/>
      <w:marBottom w:val="0"/>
      <w:divBdr>
        <w:top w:val="none" w:sz="0" w:space="0" w:color="auto"/>
        <w:left w:val="none" w:sz="0" w:space="0" w:color="auto"/>
        <w:bottom w:val="none" w:sz="0" w:space="0" w:color="auto"/>
        <w:right w:val="none" w:sz="0" w:space="0" w:color="auto"/>
      </w:divBdr>
    </w:div>
    <w:div w:id="1073939305">
      <w:bodyDiv w:val="1"/>
      <w:marLeft w:val="0"/>
      <w:marRight w:val="0"/>
      <w:marTop w:val="0"/>
      <w:marBottom w:val="0"/>
      <w:divBdr>
        <w:top w:val="none" w:sz="0" w:space="0" w:color="auto"/>
        <w:left w:val="none" w:sz="0" w:space="0" w:color="auto"/>
        <w:bottom w:val="none" w:sz="0" w:space="0" w:color="auto"/>
        <w:right w:val="none" w:sz="0" w:space="0" w:color="auto"/>
      </w:divBdr>
    </w:div>
    <w:div w:id="1095786852">
      <w:bodyDiv w:val="1"/>
      <w:marLeft w:val="0"/>
      <w:marRight w:val="0"/>
      <w:marTop w:val="0"/>
      <w:marBottom w:val="0"/>
      <w:divBdr>
        <w:top w:val="none" w:sz="0" w:space="0" w:color="auto"/>
        <w:left w:val="none" w:sz="0" w:space="0" w:color="auto"/>
        <w:bottom w:val="none" w:sz="0" w:space="0" w:color="auto"/>
        <w:right w:val="none" w:sz="0" w:space="0" w:color="auto"/>
      </w:divBdr>
    </w:div>
    <w:div w:id="1110708047">
      <w:bodyDiv w:val="1"/>
      <w:marLeft w:val="0"/>
      <w:marRight w:val="0"/>
      <w:marTop w:val="0"/>
      <w:marBottom w:val="0"/>
      <w:divBdr>
        <w:top w:val="none" w:sz="0" w:space="0" w:color="auto"/>
        <w:left w:val="none" w:sz="0" w:space="0" w:color="auto"/>
        <w:bottom w:val="none" w:sz="0" w:space="0" w:color="auto"/>
        <w:right w:val="none" w:sz="0" w:space="0" w:color="auto"/>
      </w:divBdr>
    </w:div>
    <w:div w:id="1136220831">
      <w:bodyDiv w:val="1"/>
      <w:marLeft w:val="0"/>
      <w:marRight w:val="0"/>
      <w:marTop w:val="0"/>
      <w:marBottom w:val="0"/>
      <w:divBdr>
        <w:top w:val="none" w:sz="0" w:space="0" w:color="auto"/>
        <w:left w:val="none" w:sz="0" w:space="0" w:color="auto"/>
        <w:bottom w:val="none" w:sz="0" w:space="0" w:color="auto"/>
        <w:right w:val="none" w:sz="0" w:space="0" w:color="auto"/>
      </w:divBdr>
    </w:div>
    <w:div w:id="1164667569">
      <w:bodyDiv w:val="1"/>
      <w:marLeft w:val="0"/>
      <w:marRight w:val="0"/>
      <w:marTop w:val="0"/>
      <w:marBottom w:val="0"/>
      <w:divBdr>
        <w:top w:val="none" w:sz="0" w:space="0" w:color="auto"/>
        <w:left w:val="none" w:sz="0" w:space="0" w:color="auto"/>
        <w:bottom w:val="none" w:sz="0" w:space="0" w:color="auto"/>
        <w:right w:val="none" w:sz="0" w:space="0" w:color="auto"/>
      </w:divBdr>
    </w:div>
    <w:div w:id="1333071752">
      <w:bodyDiv w:val="1"/>
      <w:marLeft w:val="0"/>
      <w:marRight w:val="0"/>
      <w:marTop w:val="0"/>
      <w:marBottom w:val="0"/>
      <w:divBdr>
        <w:top w:val="none" w:sz="0" w:space="0" w:color="auto"/>
        <w:left w:val="none" w:sz="0" w:space="0" w:color="auto"/>
        <w:bottom w:val="none" w:sz="0" w:space="0" w:color="auto"/>
        <w:right w:val="none" w:sz="0" w:space="0" w:color="auto"/>
      </w:divBdr>
    </w:div>
    <w:div w:id="1333409742">
      <w:bodyDiv w:val="1"/>
      <w:marLeft w:val="0"/>
      <w:marRight w:val="0"/>
      <w:marTop w:val="0"/>
      <w:marBottom w:val="0"/>
      <w:divBdr>
        <w:top w:val="none" w:sz="0" w:space="0" w:color="auto"/>
        <w:left w:val="none" w:sz="0" w:space="0" w:color="auto"/>
        <w:bottom w:val="none" w:sz="0" w:space="0" w:color="auto"/>
        <w:right w:val="none" w:sz="0" w:space="0" w:color="auto"/>
      </w:divBdr>
    </w:div>
    <w:div w:id="141277019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97844734">
      <w:bodyDiv w:val="1"/>
      <w:marLeft w:val="0"/>
      <w:marRight w:val="0"/>
      <w:marTop w:val="0"/>
      <w:marBottom w:val="0"/>
      <w:divBdr>
        <w:top w:val="none" w:sz="0" w:space="0" w:color="auto"/>
        <w:left w:val="none" w:sz="0" w:space="0" w:color="auto"/>
        <w:bottom w:val="none" w:sz="0" w:space="0" w:color="auto"/>
        <w:right w:val="none" w:sz="0" w:space="0" w:color="auto"/>
      </w:divBdr>
    </w:div>
    <w:div w:id="1664548994">
      <w:bodyDiv w:val="1"/>
      <w:marLeft w:val="0"/>
      <w:marRight w:val="0"/>
      <w:marTop w:val="0"/>
      <w:marBottom w:val="0"/>
      <w:divBdr>
        <w:top w:val="none" w:sz="0" w:space="0" w:color="auto"/>
        <w:left w:val="none" w:sz="0" w:space="0" w:color="auto"/>
        <w:bottom w:val="none" w:sz="0" w:space="0" w:color="auto"/>
        <w:right w:val="none" w:sz="0" w:space="0" w:color="auto"/>
      </w:divBdr>
    </w:div>
    <w:div w:id="1741637661">
      <w:bodyDiv w:val="1"/>
      <w:marLeft w:val="0"/>
      <w:marRight w:val="0"/>
      <w:marTop w:val="0"/>
      <w:marBottom w:val="0"/>
      <w:divBdr>
        <w:top w:val="none" w:sz="0" w:space="0" w:color="auto"/>
        <w:left w:val="none" w:sz="0" w:space="0" w:color="auto"/>
        <w:bottom w:val="none" w:sz="0" w:space="0" w:color="auto"/>
        <w:right w:val="none" w:sz="0" w:space="0" w:color="auto"/>
      </w:divBdr>
    </w:div>
    <w:div w:id="1963338591">
      <w:bodyDiv w:val="1"/>
      <w:marLeft w:val="0"/>
      <w:marRight w:val="0"/>
      <w:marTop w:val="0"/>
      <w:marBottom w:val="0"/>
      <w:divBdr>
        <w:top w:val="none" w:sz="0" w:space="0" w:color="auto"/>
        <w:left w:val="none" w:sz="0" w:space="0" w:color="auto"/>
        <w:bottom w:val="none" w:sz="0" w:space="0" w:color="auto"/>
        <w:right w:val="none" w:sz="0" w:space="0" w:color="auto"/>
      </w:divBdr>
    </w:div>
    <w:div w:id="2004115042">
      <w:bodyDiv w:val="1"/>
      <w:marLeft w:val="0"/>
      <w:marRight w:val="0"/>
      <w:marTop w:val="0"/>
      <w:marBottom w:val="0"/>
      <w:divBdr>
        <w:top w:val="none" w:sz="0" w:space="0" w:color="auto"/>
        <w:left w:val="none" w:sz="0" w:space="0" w:color="auto"/>
        <w:bottom w:val="none" w:sz="0" w:space="0" w:color="auto"/>
        <w:right w:val="none" w:sz="0" w:space="0" w:color="auto"/>
      </w:divBdr>
    </w:div>
    <w:div w:id="20893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D9D9-3D8E-436A-8858-CCC49C13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10</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 Tran Thi Anh [DFVN]</dc:creator>
  <cp:lastModifiedBy>Tram, Tran Thi Anh [DFVN]</cp:lastModifiedBy>
  <cp:revision>25</cp:revision>
  <dcterms:created xsi:type="dcterms:W3CDTF">2020-02-26T10:07:00Z</dcterms:created>
  <dcterms:modified xsi:type="dcterms:W3CDTF">2021-03-30T12:20:00Z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8f65381da4764b36873bb5aca91b0180.psdsxs" Id="Rad1d7ef31fc74ac5" /><Relationship Type="http://schemas.openxmlformats.org/package/2006/relationships/digital-signature/signature" Target="/package/services/digital-signature/xml-signature/a6838e82a581420dbd4d14ff8434dc4f.psdsxs" Id="Rc94ea04c4204443b" /></Relationships>
</file>