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2E5452D0"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E03D4B">
        <w:rPr>
          <w:rFonts w:ascii="Times New Roman" w:hAnsi="Times New Roman"/>
          <w:b/>
          <w:i/>
          <w:sz w:val="24"/>
          <w:szCs w:val="24"/>
          <w:lang w:val="nl-NL"/>
        </w:rPr>
        <w:t>I</w:t>
      </w:r>
      <w:r w:rsidR="004D7871">
        <w:rPr>
          <w:rFonts w:ascii="Times New Roman" w:hAnsi="Times New Roman"/>
          <w:b/>
          <w:i/>
          <w:sz w:val="24"/>
          <w:szCs w:val="24"/>
          <w:lang w:val="nl-NL"/>
        </w:rPr>
        <w:t>V</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FE45BB">
        <w:rPr>
          <w:rFonts w:ascii="Times New Roman" w:hAnsi="Times New Roman"/>
          <w:b/>
          <w:i/>
          <w:sz w:val="24"/>
          <w:szCs w:val="24"/>
          <w:lang w:val="nl-NL"/>
        </w:rPr>
        <w:t>1</w:t>
      </w:r>
      <w:r w:rsidRPr="00A90AB7">
        <w:rPr>
          <w:rFonts w:ascii="Times New Roman" w:hAnsi="Times New Roman"/>
          <w:b/>
          <w:i/>
          <w:sz w:val="24"/>
          <w:szCs w:val="24"/>
          <w:lang w:val="nl-NL"/>
        </w:rPr>
        <w:t>)</w:t>
      </w:r>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Tăng Trường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77777777" w:rsidR="00BE6F63" w:rsidRPr="00147E0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47E0F">
        <w:rPr>
          <w:rFonts w:ascii="Times New Roman" w:hAnsi="Times New Roman"/>
          <w:b/>
          <w:sz w:val="24"/>
          <w:szCs w:val="24"/>
          <w:lang w:val="nl-NL"/>
        </w:rPr>
        <w:t>1. Mục tiêu của Quỹ:</w:t>
      </w:r>
    </w:p>
    <w:p w14:paraId="16E22ECA" w14:textId="77777777" w:rsidR="007A2D4E" w:rsidRPr="00147E0F"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147E0F">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147E0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47E0F">
        <w:rPr>
          <w:rFonts w:ascii="Times New Roman" w:hAnsi="Times New Roman"/>
          <w:b/>
          <w:sz w:val="24"/>
          <w:szCs w:val="24"/>
          <w:lang w:val="nl-NL"/>
        </w:rPr>
        <w:t>2. Hiệu quả hoạt động của Quỹ:</w:t>
      </w:r>
    </w:p>
    <w:p w14:paraId="1FF4C847" w14:textId="7610E6E3" w:rsidR="00BE6F63" w:rsidRPr="00147E0F"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BE6F63" w:rsidRPr="00147E0F">
        <w:rPr>
          <w:rFonts w:ascii="Times New Roman" w:hAnsi="Times New Roman"/>
          <w:sz w:val="24"/>
          <w:szCs w:val="24"/>
          <w:lang w:val="nl-NL"/>
        </w:rPr>
        <w:t>ính đến</w:t>
      </w:r>
      <w:r w:rsidR="001B0B30" w:rsidRPr="00147E0F">
        <w:rPr>
          <w:rFonts w:ascii="Times New Roman" w:hAnsi="Times New Roman"/>
          <w:sz w:val="24"/>
          <w:szCs w:val="24"/>
          <w:lang w:val="nl-NL"/>
        </w:rPr>
        <w:t xml:space="preserve"> cuối</w:t>
      </w:r>
      <w:r w:rsidR="00BE6F63" w:rsidRPr="00147E0F">
        <w:rPr>
          <w:rFonts w:ascii="Times New Roman" w:hAnsi="Times New Roman"/>
          <w:sz w:val="24"/>
          <w:szCs w:val="24"/>
          <w:lang w:val="nl-NL"/>
        </w:rPr>
        <w:t xml:space="preserve"> kỳ báo cáo, thay đổi giá trị tài sản ròng (NAV) của Quỹ là</w:t>
      </w:r>
      <w:r w:rsidRPr="00147E0F">
        <w:rPr>
          <w:rFonts w:ascii="Times New Roman" w:hAnsi="Times New Roman"/>
          <w:sz w:val="24"/>
          <w:szCs w:val="24"/>
          <w:lang w:val="nl-NL"/>
        </w:rPr>
        <w:t xml:space="preserve"> </w:t>
      </w:r>
      <w:r w:rsidR="00067968" w:rsidRPr="00147E0F">
        <w:rPr>
          <w:rFonts w:ascii="Times New Roman" w:hAnsi="Times New Roman"/>
          <w:sz w:val="24"/>
          <w:szCs w:val="24"/>
          <w:lang w:val="nl-NL"/>
        </w:rPr>
        <w:t>10.18</w:t>
      </w:r>
      <w:r w:rsidR="007B289D" w:rsidRPr="00147E0F">
        <w:rPr>
          <w:rFonts w:ascii="Times New Roman" w:hAnsi="Times New Roman"/>
          <w:sz w:val="24"/>
          <w:szCs w:val="24"/>
          <w:lang w:val="nl-NL"/>
        </w:rPr>
        <w:t>%</w:t>
      </w:r>
      <w:r w:rsidR="00BE6F63" w:rsidRPr="00147E0F">
        <w:rPr>
          <w:rFonts w:ascii="Times New Roman" w:hAnsi="Times New Roman"/>
          <w:sz w:val="24"/>
          <w:szCs w:val="24"/>
          <w:lang w:val="nl-NL"/>
        </w:rPr>
        <w:t xml:space="preserve"> so với giá trị tài sản ròng của quỹ đầu kỳ báo cáo.</w:t>
      </w:r>
    </w:p>
    <w:p w14:paraId="0CB40711" w14:textId="77777777" w:rsidR="00BE6F63" w:rsidRPr="00147E0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47E0F">
        <w:rPr>
          <w:rFonts w:ascii="Times New Roman" w:hAnsi="Times New Roman"/>
          <w:b/>
          <w:sz w:val="24"/>
          <w:szCs w:val="24"/>
          <w:lang w:val="nl-NL"/>
        </w:rPr>
        <w:t>3. Chính sách và chiến lược đầu tư của Quỹ:</w:t>
      </w:r>
    </w:p>
    <w:p w14:paraId="6DFC5489" w14:textId="77777777" w:rsidR="005E77D1" w:rsidRPr="00A90AB7"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147E0F">
        <w:rPr>
          <w:rFonts w:ascii="Times New Roman" w:hAnsi="Times New Roman"/>
          <w:b/>
          <w:sz w:val="24"/>
          <w:szCs w:val="24"/>
          <w:lang w:val="nl-NL"/>
        </w:rPr>
        <w:t>Chiến lược đầu tư:</w:t>
      </w:r>
    </w:p>
    <w:p w14:paraId="7B37550E"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r w:rsidRPr="00C43F33">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14C7047B"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Điều kiện lựa chọn công ty như sau:</w:t>
      </w:r>
    </w:p>
    <w:p w14:paraId="3203A90B" w14:textId="77777777" w:rsidR="005146DD" w:rsidRPr="00C43F33" w:rsidRDefault="005146DD" w:rsidP="005146DD">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Là công ty trong nhóm dẫn đầu ngành nghề kinh doanh</w:t>
      </w:r>
    </w:p>
    <w:p w14:paraId="5178D3FA" w14:textId="77777777" w:rsidR="005146DD" w:rsidRPr="00C43F33" w:rsidRDefault="005146DD" w:rsidP="005146DD">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tình trạng tài chính lành mạnh</w:t>
      </w:r>
    </w:p>
    <w:p w14:paraId="2368F484" w14:textId="77777777" w:rsidR="005146DD" w:rsidRPr="00C43F33" w:rsidRDefault="005146DD" w:rsidP="005146DD">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dòng tiền ổn định, chất lượng tài sản tốt</w:t>
      </w:r>
    </w:p>
    <w:p w14:paraId="0C792580" w14:textId="77777777" w:rsidR="005146DD" w:rsidRPr="00C43F33" w:rsidRDefault="005146DD" w:rsidP="005146DD">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hệ thống quản trị doanh nghiệp tin cậy.</w:t>
      </w:r>
    </w:p>
    <w:p w14:paraId="1EA06629"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bookmarkEnd w:id="1"/>
    <w:p w14:paraId="0A7BF163"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4FE8292C" w14:textId="77777777" w:rsidR="005146DD" w:rsidRPr="00C43F33" w:rsidRDefault="005146DD" w:rsidP="005146DD">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t>Tiền gửi có kỳ hạn tại các ngân hàng thương mại theo quy định của pháp luật về ngân hàng;</w:t>
      </w:r>
    </w:p>
    <w:p w14:paraId="18805E65" w14:textId="77777777" w:rsidR="005146DD" w:rsidRPr="00C43F33" w:rsidRDefault="005146DD" w:rsidP="005146DD">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2" w:name="_Ref521351471"/>
      <w:proofErr w:type="spellStart"/>
      <w:r>
        <w:rPr>
          <w:rFonts w:ascii="Times New Roman" w:hAnsi="Times New Roman"/>
          <w:sz w:val="24"/>
          <w:szCs w:val="24"/>
        </w:rPr>
        <w:t>C</w:t>
      </w:r>
      <w:r w:rsidRPr="000E2D67">
        <w:rPr>
          <w:rFonts w:ascii="Times New Roman" w:hAnsi="Times New Roman"/>
          <w:sz w:val="24"/>
          <w:szCs w:val="24"/>
        </w:rPr>
        <w:t>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thị</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trường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tiền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tệ</w:t>
      </w:r>
      <w:proofErr w:type="spellEnd"/>
      <w:r>
        <w:rPr>
          <w:rFonts w:ascii="Times New Roman" w:hAnsi="Times New Roman"/>
          <w:sz w:val="24"/>
          <w:szCs w:val="24"/>
        </w:rPr>
        <w:t xml:space="preserve"> bao </w:t>
      </w:r>
      <w:proofErr w:type="spellStart"/>
      <w:r>
        <w:rPr>
          <w:rFonts w:ascii="Times New Roman" w:hAnsi="Times New Roman"/>
          <w:sz w:val="24"/>
          <w:szCs w:val="24"/>
        </w:rPr>
        <w:t>gồm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giấy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tờ</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giá</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công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cụ</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chuyển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nhượng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theo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quy</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đị</w:t>
      </w:r>
      <w:r>
        <w:rPr>
          <w:rFonts w:ascii="Times New Roman" w:hAnsi="Times New Roman"/>
          <w:sz w:val="24"/>
          <w:szCs w:val="24"/>
        </w:rPr>
        <w:t>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quan</w:t>
      </w:r>
      <w:proofErr w:type="spellEnd"/>
      <w:r w:rsidRPr="00C43F33">
        <w:rPr>
          <w:rFonts w:ascii="Times New Roman" w:hAnsi="Times New Roman"/>
          <w:sz w:val="24"/>
          <w:szCs w:val="24"/>
          <w:lang w:val="nl-NL"/>
        </w:rPr>
        <w:t>;</w:t>
      </w:r>
      <w:bookmarkEnd w:id="2"/>
      <w:proofErr w:type="gramEnd"/>
    </w:p>
    <w:p w14:paraId="0FB20144" w14:textId="77777777" w:rsidR="005146DD" w:rsidRPr="00C43F33" w:rsidRDefault="005146DD" w:rsidP="005146DD">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r w:rsidRPr="002D1631">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phương</w:t>
      </w:r>
      <w:proofErr w:type="spellEnd"/>
      <w:r w:rsidRPr="00C43F33">
        <w:rPr>
          <w:rFonts w:ascii="Times New Roman" w:hAnsi="Times New Roman"/>
          <w:sz w:val="24"/>
          <w:szCs w:val="24"/>
          <w:lang w:val="nl-NL"/>
        </w:rPr>
        <w:t>;</w:t>
      </w:r>
      <w:proofErr w:type="gramEnd"/>
    </w:p>
    <w:p w14:paraId="3AE74680" w14:textId="77777777" w:rsidR="005146DD" w:rsidRPr="00C43F33" w:rsidRDefault="005146DD" w:rsidP="005146DD">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3" w:name="_Ref521351480"/>
      <w:proofErr w:type="spellStart"/>
      <w:r w:rsidRPr="000E2D67">
        <w:rPr>
          <w:rFonts w:ascii="Times New Roman" w:hAnsi="Times New Roman"/>
          <w:sz w:val="24"/>
          <w:szCs w:val="24"/>
        </w:rPr>
        <w:t>Cổ</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phiếu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sidRPr="000E2D67">
        <w:rPr>
          <w:rFonts w:ascii="Times New Roman" w:hAnsi="Times New Roman"/>
          <w:sz w:val="24"/>
          <w:szCs w:val="24"/>
        </w:rPr>
        <w:t>đăng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ký</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chúng</w:t>
      </w:r>
      <w:proofErr w:type="spellEnd"/>
      <w:r w:rsidRPr="00C43F33">
        <w:rPr>
          <w:rFonts w:ascii="Times New Roman" w:hAnsi="Times New Roman"/>
          <w:sz w:val="24"/>
          <w:szCs w:val="24"/>
          <w:lang w:val="nl-NL"/>
        </w:rPr>
        <w:t>;</w:t>
      </w:r>
      <w:bookmarkEnd w:id="3"/>
      <w:proofErr w:type="gramEnd"/>
    </w:p>
    <w:p w14:paraId="55886A33" w14:textId="77777777" w:rsidR="005146DD" w:rsidRPr="00C43F33" w:rsidRDefault="005146DD" w:rsidP="005146DD">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4" w:name="_Ref521351501"/>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chào</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ra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chào</w:t>
      </w:r>
      <w:proofErr w:type="spellEnd"/>
      <w:r>
        <w:rPr>
          <w:rFonts w:ascii="Times New Roman" w:hAnsi="Times New Roman"/>
          <w:sz w:val="24"/>
          <w:szCs w:val="24"/>
        </w:rPr>
        <w:t xml:space="preserve"> </w:t>
      </w:r>
      <w:proofErr w:type="spellStart"/>
      <w:r>
        <w:rPr>
          <w:rFonts w:ascii="Times New Roman" w:hAnsi="Times New Roman"/>
          <w:sz w:val="24"/>
          <w:szCs w:val="24"/>
        </w:rPr>
        <w:t>bán</w:t>
      </w:r>
      <w:proofErr w:type="spellEnd"/>
      <w:r>
        <w:rPr>
          <w:rFonts w:ascii="Times New Roman" w:hAnsi="Times New Roman"/>
          <w:sz w:val="24"/>
          <w:szCs w:val="24"/>
        </w:rPr>
        <w:t xml:space="preserve"> ra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chúng</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riêng</w:t>
      </w:r>
      <w:proofErr w:type="spellEnd"/>
      <w:r>
        <w:rPr>
          <w:rFonts w:ascii="Times New Roman" w:hAnsi="Times New Roman"/>
          <w:sz w:val="24"/>
          <w:szCs w:val="24"/>
        </w:rPr>
        <w:t xml:space="preserve"> </w:t>
      </w:r>
      <w:proofErr w:type="spellStart"/>
      <w:r>
        <w:rPr>
          <w:rFonts w:ascii="Times New Roman" w:hAnsi="Times New Roman"/>
          <w:sz w:val="24"/>
          <w:szCs w:val="24"/>
        </w:rPr>
        <w:t>lẻ</w:t>
      </w:r>
      <w:proofErr w:type="spellEnd"/>
      <w:r>
        <w:rPr>
          <w:rFonts w:ascii="Times New Roman" w:hAnsi="Times New Roman"/>
          <w:sz w:val="24"/>
          <w:szCs w:val="24"/>
        </w:rPr>
        <w:t xml:space="preserve"> </w:t>
      </w:r>
      <w:proofErr w:type="spellStart"/>
      <w:r>
        <w:rPr>
          <w:rFonts w:ascii="Times New Roman" w:hAnsi="Times New Roman"/>
          <w:sz w:val="24"/>
          <w:szCs w:val="24"/>
        </w:rPr>
        <w:t>bởi</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thiểu</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(01) </w:t>
      </w:r>
      <w:proofErr w:type="spellStart"/>
      <w:r>
        <w:rPr>
          <w:rFonts w:ascii="Times New Roman" w:hAnsi="Times New Roman"/>
          <w:sz w:val="24"/>
          <w:szCs w:val="24"/>
        </w:rPr>
        <w:t>lần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(12)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lần</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tối</w:t>
      </w:r>
      <w:proofErr w:type="spellEnd"/>
      <w:r>
        <w:rPr>
          <w:rFonts w:ascii="Times New Roman" w:hAnsi="Times New Roman"/>
          <w:sz w:val="24"/>
          <w:szCs w:val="24"/>
        </w:rPr>
        <w:t xml:space="preserve"> </w:t>
      </w:r>
      <w:proofErr w:type="spellStart"/>
      <w:r>
        <w:rPr>
          <w:rFonts w:ascii="Times New Roman" w:hAnsi="Times New Roman"/>
          <w:sz w:val="24"/>
          <w:szCs w:val="24"/>
        </w:rPr>
        <w:t>thiểu</w:t>
      </w:r>
      <w:proofErr w:type="spellEnd"/>
      <w:r>
        <w:rPr>
          <w:rFonts w:ascii="Times New Roman" w:hAnsi="Times New Roman"/>
          <w:sz w:val="24"/>
          <w:szCs w:val="24"/>
        </w:rPr>
        <w:t xml:space="preserve">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trăm</w:t>
      </w:r>
      <w:proofErr w:type="spellEnd"/>
      <w:r>
        <w:rPr>
          <w:rFonts w:ascii="Times New Roman" w:hAnsi="Times New Roman"/>
          <w:sz w:val="24"/>
          <w:szCs w:val="24"/>
        </w:rPr>
        <w:t xml:space="preserve"> (30%)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đợt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kiện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sidRPr="00C43F33">
        <w:rPr>
          <w:rFonts w:ascii="Times New Roman" w:hAnsi="Times New Roman"/>
          <w:sz w:val="24"/>
          <w:szCs w:val="24"/>
          <w:lang w:val="nl-NL"/>
        </w:rPr>
        <w:t>:</w:t>
      </w:r>
      <w:bookmarkEnd w:id="4"/>
    </w:p>
    <w:p w14:paraId="6D5F0E3A" w14:textId="77777777" w:rsidR="005146DD" w:rsidRPr="00C43F33" w:rsidRDefault="005146DD" w:rsidP="005146DD">
      <w:pPr>
        <w:pStyle w:val="ListParagraph"/>
        <w:numPr>
          <w:ilvl w:val="1"/>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lastRenderedPageBreak/>
        <w:t xml:space="preserve">Có sự chấp thuận bằng văn bản của Ban Đại diện Quỹ về loại, mã chứng khoán, số lượng, giá trị giao dịch, thời điểm thực hiện;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bạch</w:t>
      </w:r>
      <w:proofErr w:type="spellEnd"/>
      <w:r>
        <w:rPr>
          <w:rFonts w:ascii="Times New Roman" w:hAnsi="Times New Roman"/>
          <w:sz w:val="24"/>
          <w:szCs w:val="24"/>
          <w:lang w:val="nl-NL"/>
        </w:rPr>
        <w:t xml:space="preserve">; </w:t>
      </w:r>
      <w:r w:rsidRPr="00C43F33">
        <w:rPr>
          <w:rFonts w:ascii="Times New Roman" w:hAnsi="Times New Roman"/>
          <w:sz w:val="24"/>
          <w:szCs w:val="24"/>
          <w:lang w:val="nl-NL"/>
        </w:rPr>
        <w:t>và</w:t>
      </w:r>
    </w:p>
    <w:p w14:paraId="72B1AFE4" w14:textId="77777777" w:rsidR="005146DD" w:rsidRPr="00C43F33" w:rsidRDefault="005146DD" w:rsidP="005146DD">
      <w:pPr>
        <w:pStyle w:val="ListParagraph"/>
        <w:numPr>
          <w:ilvl w:val="1"/>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2D1631">
        <w:rPr>
          <w:rFonts w:ascii="Times New Roman" w:hAnsi="Times New Roman"/>
          <w:sz w:val="24"/>
          <w:szCs w:val="24"/>
        </w:rPr>
        <w:t xml:space="preserve"> </w:t>
      </w:r>
      <w:proofErr w:type="spellStart"/>
      <w:r w:rsidRPr="000E2D67">
        <w:rPr>
          <w:rFonts w:ascii="Times New Roman" w:hAnsi="Times New Roman"/>
          <w:sz w:val="24"/>
          <w:szCs w:val="24"/>
        </w:rPr>
        <w:t>Có</w:t>
      </w:r>
      <w:proofErr w:type="spellEnd"/>
      <w:r w:rsidRPr="000E2D67">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sidRPr="000E2D67">
        <w:rPr>
          <w:rFonts w:ascii="Times New Roman" w:hAnsi="Times New Roman"/>
          <w:sz w:val="24"/>
          <w:szCs w:val="24"/>
        </w:rPr>
        <w:t>tài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liệu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minh</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sidRPr="00C43F33">
        <w:rPr>
          <w:rFonts w:ascii="Times New Roman" w:hAnsi="Times New Roman"/>
          <w:sz w:val="24"/>
          <w:szCs w:val="24"/>
          <w:lang w:val="nl-NL"/>
        </w:rPr>
        <w:t>.</w:t>
      </w:r>
    </w:p>
    <w:p w14:paraId="25B5C287" w14:textId="77777777" w:rsidR="005146DD" w:rsidRPr="00C43F33" w:rsidRDefault="005146DD" w:rsidP="005146DD">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proofErr w:type="spellStart"/>
      <w:r w:rsidRPr="000E2D67">
        <w:rPr>
          <w:rFonts w:ascii="Times New Roman" w:hAnsi="Times New Roman"/>
          <w:sz w:val="24"/>
          <w:szCs w:val="24"/>
        </w:rPr>
        <w:t>Chứng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phái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sinh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niêm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yết</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giao</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dịch</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tại</w:t>
      </w:r>
      <w:proofErr w:type="spellEnd"/>
      <w:r w:rsidRPr="000E2D67">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và</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chỉ</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nhằm</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mục</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tiêu</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phòng</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ngừa</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rủi</w:t>
      </w:r>
      <w:proofErr w:type="spellEnd"/>
      <w:r w:rsidRPr="000E2D67">
        <w:rPr>
          <w:rFonts w:ascii="Times New Roman" w:hAnsi="Times New Roman"/>
          <w:sz w:val="24"/>
          <w:szCs w:val="24"/>
        </w:rPr>
        <w:t xml:space="preserve"> </w:t>
      </w:r>
      <w:proofErr w:type="spellStart"/>
      <w:r w:rsidRPr="000E2D67">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w:t>
      </w:r>
      <w:proofErr w:type="spellStart"/>
      <w:r>
        <w:rPr>
          <w:rFonts w:ascii="Times New Roman" w:hAnsi="Times New Roman"/>
          <w:sz w:val="24"/>
          <w:szCs w:val="24"/>
        </w:rPr>
        <w:t>mà</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nắm</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giữ</w:t>
      </w:r>
      <w:proofErr w:type="spellEnd"/>
      <w:r w:rsidRPr="00C43F33">
        <w:rPr>
          <w:rFonts w:ascii="Times New Roman" w:hAnsi="Times New Roman"/>
          <w:sz w:val="24"/>
          <w:szCs w:val="24"/>
          <w:lang w:val="nl-NL"/>
        </w:rPr>
        <w:t>;</w:t>
      </w:r>
      <w:proofErr w:type="gramEnd"/>
    </w:p>
    <w:p w14:paraId="48F482E5" w14:textId="77777777" w:rsidR="005146DD" w:rsidRPr="00C43F33" w:rsidRDefault="005146DD" w:rsidP="005146DD">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4. Phân loại Quỹ:</w:t>
      </w:r>
    </w:p>
    <w:p w14:paraId="7DF2A06F"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được thành lập tại Việt Nam dưới hình thức Quỹ mở theo Giấy chứng nhận thành lập Quỹ mở số 34/GCN-UBCK do Ủy ban Chứng khoán Nhà nước cấp ngày 03 tháng 01 năm 2019.</w:t>
      </w:r>
    </w:p>
    <w:p w14:paraId="6001AD7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77777777" w:rsidR="00BE6F63" w:rsidRPr="00147E0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47E0F">
        <w:rPr>
          <w:rFonts w:ascii="Times New Roman" w:hAnsi="Times New Roman"/>
          <w:b/>
          <w:sz w:val="24"/>
          <w:szCs w:val="24"/>
          <w:lang w:val="nl-NL"/>
        </w:rPr>
        <w:t>6. Mức độ rủi ro ngắn hạn (thấp, trung bình, cao):</w:t>
      </w:r>
    </w:p>
    <w:p w14:paraId="20D5DA17" w14:textId="77777777" w:rsidR="005146DD" w:rsidRPr="00147E0F" w:rsidRDefault="005146DD" w:rsidP="005146DD">
      <w:pPr>
        <w:shd w:val="clear" w:color="auto" w:fill="FFFFFF"/>
        <w:tabs>
          <w:tab w:val="left" w:pos="540"/>
        </w:tabs>
        <w:spacing w:before="120" w:after="0" w:line="240" w:lineRule="auto"/>
        <w:jc w:val="both"/>
        <w:rPr>
          <w:rFonts w:ascii="Times New Roman" w:hAnsi="Times New Roman"/>
          <w:sz w:val="24"/>
          <w:szCs w:val="24"/>
          <w:lang w:val="nl-NL"/>
        </w:rPr>
      </w:pPr>
      <w:r w:rsidRPr="00147E0F">
        <w:rPr>
          <w:rFonts w:ascii="Times New Roman" w:hAnsi="Times New Roman"/>
          <w:sz w:val="24"/>
          <w:szCs w:val="24"/>
          <w:lang w:val="nl-NL"/>
        </w:rPr>
        <w:t xml:space="preserve">Mức độ rủi ro ngắn hạn trung bình. </w:t>
      </w:r>
    </w:p>
    <w:p w14:paraId="471C773A" w14:textId="77777777" w:rsidR="005146DD" w:rsidRPr="00147E0F" w:rsidRDefault="005146DD" w:rsidP="005146DD">
      <w:pPr>
        <w:shd w:val="clear" w:color="auto" w:fill="FFFFFF"/>
        <w:tabs>
          <w:tab w:val="left" w:pos="540"/>
        </w:tabs>
        <w:spacing w:before="120" w:after="0" w:line="240" w:lineRule="auto"/>
        <w:jc w:val="both"/>
        <w:rPr>
          <w:rFonts w:ascii="Times New Roman" w:hAnsi="Times New Roman"/>
          <w:sz w:val="24"/>
          <w:szCs w:val="24"/>
          <w:lang w:val="nl-NL"/>
        </w:rPr>
      </w:pPr>
      <w:r w:rsidRPr="00147E0F">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2A16C1DD" w14:textId="77777777" w:rsidR="005146DD" w:rsidRPr="00A90AB7" w:rsidRDefault="005146DD" w:rsidP="005146DD">
      <w:pPr>
        <w:shd w:val="clear" w:color="auto" w:fill="FFFFFF"/>
        <w:tabs>
          <w:tab w:val="left" w:pos="540"/>
        </w:tabs>
        <w:spacing w:before="120" w:after="0" w:line="240" w:lineRule="auto"/>
        <w:jc w:val="both"/>
        <w:rPr>
          <w:rFonts w:ascii="Times New Roman" w:hAnsi="Times New Roman"/>
          <w:sz w:val="24"/>
          <w:szCs w:val="24"/>
          <w:lang w:val="nl-NL"/>
        </w:rPr>
      </w:pPr>
      <w:r w:rsidRPr="00147E0F">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6D81FBB" w:rsidR="00BE6F63" w:rsidRPr="00147E0F"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147E0F">
        <w:rPr>
          <w:rFonts w:ascii="Times New Roman" w:hAnsi="Times New Roman"/>
          <w:b/>
          <w:sz w:val="24"/>
          <w:szCs w:val="24"/>
          <w:lang w:val="nl-NL"/>
        </w:rPr>
        <w:lastRenderedPageBreak/>
        <w:t>8. Quy mô Quỹ tại thời điểm báo cáo</w:t>
      </w:r>
    </w:p>
    <w:p w14:paraId="3FD6761E" w14:textId="51C7B6D6"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47E0F">
        <w:rPr>
          <w:rFonts w:ascii="Times New Roman" w:hAnsi="Times New Roman"/>
          <w:sz w:val="24"/>
          <w:szCs w:val="24"/>
          <w:lang w:val="nl-NL"/>
        </w:rPr>
        <w:t>Tại ngày 3</w:t>
      </w:r>
      <w:r w:rsidR="004D7871" w:rsidRPr="00147E0F">
        <w:rPr>
          <w:rFonts w:ascii="Times New Roman" w:hAnsi="Times New Roman"/>
          <w:sz w:val="24"/>
          <w:szCs w:val="24"/>
          <w:lang w:val="nl-NL"/>
        </w:rPr>
        <w:t>1</w:t>
      </w:r>
      <w:r w:rsidRPr="00147E0F">
        <w:rPr>
          <w:rFonts w:ascii="Times New Roman" w:hAnsi="Times New Roman"/>
          <w:sz w:val="24"/>
          <w:szCs w:val="24"/>
          <w:lang w:val="nl-NL"/>
        </w:rPr>
        <w:t xml:space="preserve"> tháng </w:t>
      </w:r>
      <w:r w:rsidR="004D7871" w:rsidRPr="00147E0F">
        <w:rPr>
          <w:rFonts w:ascii="Times New Roman" w:hAnsi="Times New Roman"/>
          <w:sz w:val="24"/>
          <w:szCs w:val="24"/>
          <w:lang w:val="nl-NL"/>
        </w:rPr>
        <w:t>12</w:t>
      </w:r>
      <w:r w:rsidRPr="00147E0F">
        <w:rPr>
          <w:rFonts w:ascii="Times New Roman" w:hAnsi="Times New Roman"/>
          <w:sz w:val="24"/>
          <w:szCs w:val="24"/>
          <w:lang w:val="nl-NL"/>
        </w:rPr>
        <w:t xml:space="preserve"> năm 20</w:t>
      </w:r>
      <w:r w:rsidR="0001588B" w:rsidRPr="00147E0F">
        <w:rPr>
          <w:rFonts w:ascii="Times New Roman" w:hAnsi="Times New Roman"/>
          <w:sz w:val="24"/>
          <w:szCs w:val="24"/>
          <w:lang w:val="nl-NL"/>
        </w:rPr>
        <w:t>2</w:t>
      </w:r>
      <w:r w:rsidR="000D074B" w:rsidRPr="00147E0F">
        <w:rPr>
          <w:rFonts w:ascii="Times New Roman" w:hAnsi="Times New Roman"/>
          <w:sz w:val="24"/>
          <w:szCs w:val="24"/>
          <w:lang w:val="nl-NL"/>
        </w:rPr>
        <w:t>1</w:t>
      </w:r>
      <w:r w:rsidRPr="00147E0F">
        <w:rPr>
          <w:rFonts w:ascii="Times New Roman" w:hAnsi="Times New Roman"/>
          <w:sz w:val="24"/>
          <w:szCs w:val="24"/>
          <w:lang w:val="nl-NL"/>
        </w:rPr>
        <w:t xml:space="preserve">, số lượng Chứng chỉ </w:t>
      </w:r>
      <w:r w:rsidR="008F2B2D" w:rsidRPr="00147E0F">
        <w:rPr>
          <w:rFonts w:ascii="Times New Roman" w:hAnsi="Times New Roman"/>
          <w:sz w:val="24"/>
          <w:szCs w:val="24"/>
          <w:lang w:val="nl-NL"/>
        </w:rPr>
        <w:t>Q</w:t>
      </w:r>
      <w:r w:rsidRPr="00147E0F">
        <w:rPr>
          <w:rFonts w:ascii="Times New Roman" w:hAnsi="Times New Roman"/>
          <w:sz w:val="24"/>
          <w:szCs w:val="24"/>
          <w:lang w:val="nl-NL"/>
        </w:rPr>
        <w:t xml:space="preserve">uỹ (“CCQ”) đang lưu hành của Quỹ là </w:t>
      </w:r>
      <w:r w:rsidR="00360AD3" w:rsidRPr="00147E0F">
        <w:rPr>
          <w:rFonts w:ascii="Times New Roman" w:hAnsi="Times New Roman"/>
          <w:sz w:val="24"/>
          <w:szCs w:val="24"/>
          <w:lang w:val="nl-NL"/>
        </w:rPr>
        <w:t xml:space="preserve"> </w:t>
      </w:r>
      <w:r w:rsidR="004D7871" w:rsidRPr="00147E0F">
        <w:rPr>
          <w:rFonts w:ascii="Times New Roman" w:hAnsi="Times New Roman"/>
          <w:sz w:val="24"/>
          <w:szCs w:val="24"/>
          <w:lang w:val="nl-NL"/>
        </w:rPr>
        <w:t xml:space="preserve"> 9,459,789.45 </w:t>
      </w:r>
      <w:r w:rsidRPr="00147E0F">
        <w:rPr>
          <w:rFonts w:ascii="Times New Roman" w:hAnsi="Times New Roman"/>
          <w:sz w:val="24"/>
          <w:szCs w:val="24"/>
          <w:lang w:val="nl-NL"/>
        </w:rPr>
        <w:t>CCQ, tương đương với quy mô vốn của Quỹ theo mệnh giá là</w:t>
      </w:r>
      <w:r w:rsidR="00E117F3" w:rsidRPr="00147E0F">
        <w:rPr>
          <w:rFonts w:ascii="Times New Roman" w:hAnsi="Times New Roman"/>
          <w:sz w:val="24"/>
          <w:szCs w:val="24"/>
          <w:lang w:val="nl-NL"/>
        </w:rPr>
        <w:t xml:space="preserve"> </w:t>
      </w:r>
      <w:r w:rsidR="00360AD3" w:rsidRPr="00147E0F">
        <w:rPr>
          <w:rFonts w:ascii="Times New Roman" w:hAnsi="Times New Roman"/>
          <w:sz w:val="24"/>
          <w:szCs w:val="24"/>
          <w:lang w:val="nl-NL"/>
        </w:rPr>
        <w:t xml:space="preserve"> </w:t>
      </w:r>
      <w:r w:rsidR="004D7871" w:rsidRPr="00147E0F">
        <w:rPr>
          <w:rFonts w:ascii="Times New Roman" w:hAnsi="Times New Roman"/>
          <w:sz w:val="24"/>
          <w:szCs w:val="24"/>
          <w:lang w:val="nl-NL"/>
        </w:rPr>
        <w:t xml:space="preserve"> 94,597,894,500</w:t>
      </w:r>
      <w:r w:rsidRPr="00147E0F">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147E0F"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147E0F">
        <w:rPr>
          <w:rFonts w:ascii="Times New Roman" w:hAnsi="Times New Roman"/>
          <w:b/>
          <w:sz w:val="24"/>
          <w:szCs w:val="24"/>
          <w:lang w:val="nl-NL"/>
        </w:rPr>
        <w:t>10. Chính sách phân phối lợi nhuận của Quỹ:</w:t>
      </w:r>
    </w:p>
    <w:p w14:paraId="1FC01D7D" w14:textId="77777777" w:rsidR="005146DD" w:rsidRPr="00147E0F"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147E0F">
        <w:rPr>
          <w:rFonts w:ascii="Times New Roman" w:hAnsi="Times New Roman"/>
          <w:sz w:val="24"/>
          <w:szCs w:val="24"/>
          <w:lang w:val="nl-NL"/>
        </w:rPr>
        <w:t xml:space="preserve">Như đã được đề cập trong Bản Cáo bạch, Quỹ DFVN-CAF là một quỹ 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147E0F" w:rsidDel="00091CAB">
        <w:rPr>
          <w:rFonts w:ascii="Times New Roman" w:hAnsi="Times New Roman"/>
          <w:sz w:val="24"/>
          <w:szCs w:val="24"/>
          <w:lang w:val="nl-NL"/>
        </w:rPr>
        <w:t xml:space="preserve"> </w:t>
      </w:r>
    </w:p>
    <w:p w14:paraId="2837F4AA" w14:textId="77777777" w:rsidR="005146DD" w:rsidRPr="00147E0F" w:rsidRDefault="005146DD" w:rsidP="005146DD">
      <w:pPr>
        <w:spacing w:before="120" w:after="120"/>
        <w:jc w:val="both"/>
        <w:rPr>
          <w:rFonts w:ascii="Times New Roman" w:hAnsi="Times New Roman"/>
          <w:sz w:val="24"/>
          <w:szCs w:val="24"/>
        </w:rPr>
      </w:pPr>
      <w:proofErr w:type="spellStart"/>
      <w:r w:rsidRPr="00147E0F">
        <w:rPr>
          <w:rFonts w:ascii="Times New Roman" w:hAnsi="Times New Roman"/>
          <w:sz w:val="24"/>
          <w:szCs w:val="24"/>
        </w:rPr>
        <w:t>Việc</w:t>
      </w:r>
      <w:proofErr w:type="spellEnd"/>
      <w:r w:rsidRPr="00147E0F">
        <w:rPr>
          <w:rFonts w:ascii="Times New Roman" w:hAnsi="Times New Roman"/>
          <w:sz w:val="24"/>
          <w:szCs w:val="24"/>
        </w:rPr>
        <w:t xml:space="preserve"> chi </w:t>
      </w:r>
      <w:proofErr w:type="spellStart"/>
      <w:r w:rsidRPr="00147E0F">
        <w:rPr>
          <w:rFonts w:ascii="Times New Roman" w:hAnsi="Times New Roman"/>
          <w:sz w:val="24"/>
          <w:szCs w:val="24"/>
        </w:rPr>
        <w:t>trả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bảo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đảm</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nguyên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tắc</w:t>
      </w:r>
      <w:proofErr w:type="spellEnd"/>
      <w:r w:rsidRPr="00147E0F">
        <w:rPr>
          <w:rFonts w:ascii="Times New Roman" w:hAnsi="Times New Roman"/>
          <w:sz w:val="24"/>
          <w:szCs w:val="24"/>
        </w:rPr>
        <w:t>:</w:t>
      </w:r>
    </w:p>
    <w:p w14:paraId="05B1F6B4" w14:textId="77777777" w:rsidR="005146DD" w:rsidRPr="00147E0F" w:rsidRDefault="005146DD" w:rsidP="005146DD">
      <w:pPr>
        <w:pStyle w:val="ListParagraph"/>
        <w:numPr>
          <w:ilvl w:val="0"/>
          <w:numId w:val="12"/>
        </w:numPr>
        <w:spacing w:before="120" w:after="120"/>
        <w:ind w:left="540" w:hanging="540"/>
        <w:contextualSpacing w:val="0"/>
        <w:jc w:val="both"/>
        <w:rPr>
          <w:rFonts w:ascii="Times New Roman" w:hAnsi="Times New Roman"/>
          <w:sz w:val="24"/>
          <w:szCs w:val="24"/>
        </w:rPr>
      </w:pPr>
      <w:bookmarkStart w:id="5" w:name="_Hlk68090324"/>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phối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lấy</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từ</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nguồn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trong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kỳ</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hoặc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lũy</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kế</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sau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hoàn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tất</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mọi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nghĩa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vụ</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thuế</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tài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chính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theo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quy</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định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Pháp</w:t>
      </w:r>
      <w:proofErr w:type="spellEnd"/>
      <w:r w:rsidRPr="00147E0F">
        <w:rPr>
          <w:rFonts w:ascii="Times New Roman" w:hAnsi="Times New Roman"/>
          <w:sz w:val="24"/>
          <w:szCs w:val="24"/>
        </w:rPr>
        <w:t xml:space="preserve"> </w:t>
      </w:r>
      <w:proofErr w:type="spellStart"/>
      <w:proofErr w:type="gramStart"/>
      <w:r w:rsidRPr="00147E0F">
        <w:rPr>
          <w:rFonts w:ascii="Times New Roman" w:hAnsi="Times New Roman"/>
          <w:sz w:val="24"/>
          <w:szCs w:val="24"/>
        </w:rPr>
        <w:t>luật</w:t>
      </w:r>
      <w:bookmarkEnd w:id="5"/>
      <w:proofErr w:type="spellEnd"/>
      <w:r w:rsidRPr="00147E0F">
        <w:rPr>
          <w:rFonts w:ascii="Times New Roman" w:hAnsi="Times New Roman"/>
          <w:sz w:val="24"/>
          <w:szCs w:val="24"/>
        </w:rPr>
        <w:t>;</w:t>
      </w:r>
      <w:proofErr w:type="gramEnd"/>
    </w:p>
    <w:p w14:paraId="1751FBCF" w14:textId="77777777" w:rsidR="005146DD" w:rsidRPr="00147E0F" w:rsidRDefault="005146DD" w:rsidP="005146DD">
      <w:pPr>
        <w:pStyle w:val="ListParagraph"/>
        <w:numPr>
          <w:ilvl w:val="0"/>
          <w:numId w:val="12"/>
        </w:numPr>
        <w:spacing w:before="120" w:after="120"/>
        <w:ind w:left="540" w:hanging="540"/>
        <w:contextualSpacing w:val="0"/>
        <w:jc w:val="both"/>
        <w:rPr>
          <w:rFonts w:ascii="Times New Roman" w:hAnsi="Times New Roman"/>
          <w:sz w:val="24"/>
          <w:szCs w:val="24"/>
        </w:rPr>
      </w:pPr>
      <w:bookmarkStart w:id="6" w:name="_Hlk68090334"/>
      <w:proofErr w:type="spellStart"/>
      <w:r w:rsidRPr="00147E0F">
        <w:rPr>
          <w:rFonts w:ascii="Times New Roman" w:hAnsi="Times New Roman"/>
          <w:sz w:val="24"/>
          <w:szCs w:val="24"/>
        </w:rPr>
        <w:t>Mức</w:t>
      </w:r>
      <w:proofErr w:type="spellEnd"/>
      <w:r w:rsidRPr="00147E0F">
        <w:rPr>
          <w:rFonts w:ascii="Times New Roman" w:hAnsi="Times New Roman"/>
          <w:sz w:val="24"/>
          <w:szCs w:val="24"/>
        </w:rPr>
        <w:t xml:space="preserve"> chi </w:t>
      </w:r>
      <w:proofErr w:type="spellStart"/>
      <w:r w:rsidRPr="00147E0F">
        <w:rPr>
          <w:rFonts w:ascii="Times New Roman" w:hAnsi="Times New Roman"/>
          <w:sz w:val="24"/>
          <w:szCs w:val="24"/>
        </w:rPr>
        <w:t>trả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hợp</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với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chính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sách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phối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của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quy</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định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tại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Điều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lệ</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Đại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hội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thông</w:t>
      </w:r>
      <w:proofErr w:type="spellEnd"/>
      <w:r w:rsidRPr="00147E0F">
        <w:rPr>
          <w:rFonts w:ascii="Times New Roman" w:hAnsi="Times New Roman"/>
          <w:sz w:val="24"/>
          <w:szCs w:val="24"/>
        </w:rPr>
        <w:t xml:space="preserve"> </w:t>
      </w:r>
      <w:proofErr w:type="gramStart"/>
      <w:r w:rsidRPr="00147E0F">
        <w:rPr>
          <w:rFonts w:ascii="Times New Roman" w:hAnsi="Times New Roman"/>
          <w:sz w:val="24"/>
          <w:szCs w:val="24"/>
        </w:rPr>
        <w:t>qua</w:t>
      </w:r>
      <w:bookmarkEnd w:id="6"/>
      <w:r w:rsidRPr="00147E0F">
        <w:rPr>
          <w:rFonts w:ascii="Times New Roman" w:hAnsi="Times New Roman"/>
          <w:sz w:val="24"/>
          <w:szCs w:val="24"/>
        </w:rPr>
        <w:t>;</w:t>
      </w:r>
      <w:proofErr w:type="gramEnd"/>
    </w:p>
    <w:p w14:paraId="3F35F251" w14:textId="77777777" w:rsidR="005146DD" w:rsidRPr="00147E0F" w:rsidRDefault="005146DD" w:rsidP="005146DD">
      <w:pPr>
        <w:pStyle w:val="ListParagraph"/>
        <w:numPr>
          <w:ilvl w:val="0"/>
          <w:numId w:val="12"/>
        </w:numPr>
        <w:spacing w:before="120" w:after="120"/>
        <w:ind w:left="540" w:hanging="540"/>
        <w:contextualSpacing w:val="0"/>
        <w:jc w:val="both"/>
        <w:rPr>
          <w:rFonts w:ascii="Times New Roman" w:hAnsi="Times New Roman"/>
          <w:sz w:val="24"/>
          <w:szCs w:val="24"/>
        </w:rPr>
      </w:pPr>
      <w:bookmarkStart w:id="7" w:name="_Hlk68090345"/>
      <w:r w:rsidRPr="00147E0F">
        <w:rPr>
          <w:rFonts w:ascii="Times New Roman" w:hAnsi="Times New Roman"/>
          <w:sz w:val="24"/>
          <w:szCs w:val="24"/>
        </w:rPr>
        <w:t xml:space="preserve">Sau </w:t>
      </w:r>
      <w:proofErr w:type="spellStart"/>
      <w:r w:rsidRPr="00147E0F">
        <w:rPr>
          <w:rFonts w:ascii="Times New Roman" w:hAnsi="Times New Roman"/>
          <w:sz w:val="24"/>
          <w:szCs w:val="24"/>
        </w:rPr>
        <w:t>khi</w:t>
      </w:r>
      <w:proofErr w:type="spellEnd"/>
      <w:r w:rsidRPr="00147E0F">
        <w:rPr>
          <w:rFonts w:ascii="Times New Roman" w:hAnsi="Times New Roman"/>
          <w:sz w:val="24"/>
          <w:szCs w:val="24"/>
        </w:rPr>
        <w:t xml:space="preserve"> chi </w:t>
      </w:r>
      <w:proofErr w:type="spellStart"/>
      <w:r w:rsidRPr="00147E0F">
        <w:rPr>
          <w:rFonts w:ascii="Times New Roman" w:hAnsi="Times New Roman"/>
          <w:sz w:val="24"/>
          <w:szCs w:val="24"/>
        </w:rPr>
        <w:t>trả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vẫn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đảm</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bảo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có</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nguồn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vốn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để</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thanh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toán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đủ</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các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khoản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nghĩa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vụ</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tài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khác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đến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Giá</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trị</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Tài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Ròng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của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sau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khi</w:t>
      </w:r>
      <w:proofErr w:type="spellEnd"/>
      <w:r w:rsidRPr="00147E0F">
        <w:rPr>
          <w:rFonts w:ascii="Times New Roman" w:hAnsi="Times New Roman"/>
          <w:sz w:val="24"/>
          <w:szCs w:val="24"/>
        </w:rPr>
        <w:t xml:space="preserve"> chi </w:t>
      </w:r>
      <w:proofErr w:type="spellStart"/>
      <w:r w:rsidRPr="00147E0F">
        <w:rPr>
          <w:rFonts w:ascii="Times New Roman" w:hAnsi="Times New Roman"/>
          <w:sz w:val="24"/>
          <w:szCs w:val="24"/>
        </w:rPr>
        <w:t>trả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không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thấp</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năm</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mươi</w:t>
      </w:r>
      <w:proofErr w:type="spellEnd"/>
      <w:r w:rsidRPr="00147E0F">
        <w:rPr>
          <w:rFonts w:ascii="Times New Roman" w:hAnsi="Times New Roman"/>
          <w:sz w:val="24"/>
          <w:szCs w:val="24"/>
        </w:rPr>
        <w:t xml:space="preserve"> (50) </w:t>
      </w:r>
      <w:proofErr w:type="spellStart"/>
      <w:r w:rsidRPr="00147E0F">
        <w:rPr>
          <w:rFonts w:ascii="Times New Roman" w:hAnsi="Times New Roman"/>
          <w:sz w:val="24"/>
          <w:szCs w:val="24"/>
        </w:rPr>
        <w:t>tỷ</w:t>
      </w:r>
      <w:proofErr w:type="spellEnd"/>
      <w:r w:rsidRPr="00147E0F">
        <w:rPr>
          <w:rFonts w:ascii="Times New Roman" w:hAnsi="Times New Roman"/>
          <w:sz w:val="24"/>
          <w:szCs w:val="24"/>
        </w:rPr>
        <w:t xml:space="preserve"> </w:t>
      </w:r>
      <w:proofErr w:type="spellStart"/>
      <w:proofErr w:type="gramStart"/>
      <w:r w:rsidRPr="00147E0F">
        <w:rPr>
          <w:rFonts w:ascii="Times New Roman" w:hAnsi="Times New Roman"/>
          <w:sz w:val="24"/>
          <w:szCs w:val="24"/>
        </w:rPr>
        <w:t>đồng</w:t>
      </w:r>
      <w:bookmarkEnd w:id="7"/>
      <w:proofErr w:type="spellEnd"/>
      <w:r w:rsidRPr="00147E0F">
        <w:rPr>
          <w:rFonts w:ascii="Times New Roman" w:hAnsi="Times New Roman"/>
          <w:sz w:val="24"/>
          <w:szCs w:val="24"/>
        </w:rPr>
        <w:t>;</w:t>
      </w:r>
      <w:proofErr w:type="gramEnd"/>
    </w:p>
    <w:p w14:paraId="139DD729" w14:textId="77777777" w:rsidR="005146DD" w:rsidRPr="00147E0F" w:rsidRDefault="005146DD" w:rsidP="005146DD">
      <w:pPr>
        <w:pStyle w:val="ListParagraph"/>
        <w:numPr>
          <w:ilvl w:val="0"/>
          <w:numId w:val="12"/>
        </w:numPr>
        <w:spacing w:before="120" w:after="120"/>
        <w:ind w:left="540" w:hanging="540"/>
        <w:contextualSpacing w:val="0"/>
        <w:jc w:val="both"/>
        <w:rPr>
          <w:rFonts w:ascii="Times New Roman" w:hAnsi="Times New Roman"/>
          <w:sz w:val="24"/>
          <w:szCs w:val="24"/>
        </w:rPr>
      </w:pPr>
      <w:bookmarkStart w:id="8" w:name="_Hlk68090363"/>
      <w:proofErr w:type="spellStart"/>
      <w:r w:rsidRPr="00147E0F">
        <w:rPr>
          <w:rFonts w:ascii="Times New Roman" w:hAnsi="Times New Roman"/>
          <w:sz w:val="24"/>
          <w:szCs w:val="24"/>
        </w:rPr>
        <w:t>Trường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hợp</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phối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bằng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Chứng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chỉ</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có</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đủ</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nguồn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vốn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đối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ứng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từ</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sau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thuế</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chưa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phối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căn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cứ</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trên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báo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cáo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tài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chính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kỳ</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gần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nhất</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kiểm</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toán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hoặc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soát</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xét</w:t>
      </w:r>
      <w:bookmarkEnd w:id="8"/>
      <w:proofErr w:type="spellEnd"/>
      <w:r w:rsidRPr="00147E0F">
        <w:rPr>
          <w:rFonts w:ascii="Times New Roman" w:hAnsi="Times New Roman"/>
          <w:sz w:val="24"/>
          <w:szCs w:val="24"/>
        </w:rPr>
        <w:t>.</w:t>
      </w:r>
    </w:p>
    <w:p w14:paraId="2953E92F" w14:textId="77777777" w:rsidR="005146DD" w:rsidRPr="00147E0F" w:rsidRDefault="005146DD" w:rsidP="005146DD">
      <w:pPr>
        <w:spacing w:before="120" w:after="120"/>
        <w:jc w:val="both"/>
        <w:rPr>
          <w:rFonts w:ascii="Times New Roman" w:hAnsi="Times New Roman"/>
          <w:sz w:val="24"/>
          <w:szCs w:val="24"/>
        </w:rPr>
      </w:pPr>
      <w:proofErr w:type="spellStart"/>
      <w:r w:rsidRPr="00147E0F">
        <w:rPr>
          <w:rFonts w:ascii="Times New Roman" w:hAnsi="Times New Roman"/>
          <w:sz w:val="24"/>
          <w:szCs w:val="24"/>
        </w:rPr>
        <w:t>Hình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thức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phối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bằng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tiền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hoặc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bằng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vị</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Việc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chia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bằng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vị</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sự</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chấp</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trước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của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Đại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hội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hoặc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sự</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chấp</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của</w:t>
      </w:r>
      <w:proofErr w:type="spellEnd"/>
      <w:r w:rsidRPr="00147E0F">
        <w:rPr>
          <w:rFonts w:ascii="Times New Roman" w:hAnsi="Times New Roman"/>
          <w:sz w:val="24"/>
          <w:szCs w:val="24"/>
        </w:rPr>
        <w:t xml:space="preserve"> Ban </w:t>
      </w:r>
      <w:proofErr w:type="spellStart"/>
      <w:r w:rsidRPr="00147E0F">
        <w:rPr>
          <w:rFonts w:ascii="Times New Roman" w:hAnsi="Times New Roman"/>
          <w:sz w:val="24"/>
          <w:szCs w:val="24"/>
        </w:rPr>
        <w:t>Đại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diện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nếu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Đại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hội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gần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nhất</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ủy</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quyền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cho</w:t>
      </w:r>
      <w:proofErr w:type="spellEnd"/>
      <w:r w:rsidRPr="00147E0F">
        <w:rPr>
          <w:rFonts w:ascii="Times New Roman" w:hAnsi="Times New Roman"/>
          <w:sz w:val="24"/>
          <w:szCs w:val="24"/>
        </w:rPr>
        <w:t xml:space="preserve"> Ban </w:t>
      </w:r>
      <w:proofErr w:type="spellStart"/>
      <w:r w:rsidRPr="00147E0F">
        <w:rPr>
          <w:rFonts w:ascii="Times New Roman" w:hAnsi="Times New Roman"/>
          <w:sz w:val="24"/>
          <w:szCs w:val="24"/>
        </w:rPr>
        <w:t>Đại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diện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Chỉ</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những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có</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tên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trên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danh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sách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sở</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hữu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vị</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tại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ngày</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chốt</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quyền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mới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Cổ</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tức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từ</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w:t>
      </w:r>
    </w:p>
    <w:p w14:paraId="132566C6" w14:textId="77777777" w:rsidR="005146DD" w:rsidRPr="00147E0F" w:rsidRDefault="005146DD" w:rsidP="005146DD">
      <w:pPr>
        <w:spacing w:before="120" w:after="120"/>
        <w:jc w:val="both"/>
        <w:rPr>
          <w:rFonts w:ascii="Times New Roman" w:hAnsi="Times New Roman"/>
          <w:sz w:val="24"/>
          <w:szCs w:val="24"/>
        </w:rPr>
      </w:pPr>
      <w:proofErr w:type="spellStart"/>
      <w:r w:rsidRPr="00147E0F">
        <w:rPr>
          <w:rFonts w:ascii="Times New Roman" w:hAnsi="Times New Roman"/>
          <w:sz w:val="24"/>
          <w:szCs w:val="24"/>
        </w:rPr>
        <w:t>Công</w:t>
      </w:r>
      <w:proofErr w:type="spellEnd"/>
      <w:r w:rsidRPr="00147E0F">
        <w:rPr>
          <w:rFonts w:ascii="Times New Roman" w:hAnsi="Times New Roman"/>
          <w:sz w:val="24"/>
          <w:szCs w:val="24"/>
        </w:rPr>
        <w:t xml:space="preserve"> ty </w:t>
      </w:r>
      <w:proofErr w:type="spellStart"/>
      <w:r w:rsidRPr="00147E0F">
        <w:rPr>
          <w:rFonts w:ascii="Times New Roman" w:hAnsi="Times New Roman"/>
          <w:sz w:val="24"/>
          <w:szCs w:val="24"/>
        </w:rPr>
        <w:t>Quản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lý</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khấu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trừ</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mọi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khoản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thuế</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phí</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lệ</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phí</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theo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quy</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định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của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Pháp</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luật</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trước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chia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w:t>
      </w:r>
    </w:p>
    <w:p w14:paraId="495EE75D" w14:textId="5A0C7CAD" w:rsidR="005E77D1" w:rsidRPr="00147E0F" w:rsidRDefault="005146DD" w:rsidP="005E77D1">
      <w:pPr>
        <w:shd w:val="clear" w:color="auto" w:fill="FFFFFF"/>
        <w:tabs>
          <w:tab w:val="left" w:pos="540"/>
        </w:tabs>
        <w:spacing w:before="120" w:after="0" w:line="240" w:lineRule="auto"/>
        <w:jc w:val="both"/>
        <w:rPr>
          <w:rFonts w:ascii="Times New Roman" w:hAnsi="Times New Roman"/>
          <w:sz w:val="24"/>
          <w:szCs w:val="24"/>
          <w:lang w:val="nl-NL"/>
        </w:rPr>
      </w:pPr>
      <w:proofErr w:type="spellStart"/>
      <w:r w:rsidRPr="00147E0F">
        <w:rPr>
          <w:rFonts w:ascii="Times New Roman" w:hAnsi="Times New Roman"/>
          <w:sz w:val="24"/>
          <w:szCs w:val="24"/>
        </w:rPr>
        <w:t>Công</w:t>
      </w:r>
      <w:proofErr w:type="spellEnd"/>
      <w:r w:rsidRPr="00147E0F">
        <w:rPr>
          <w:rFonts w:ascii="Times New Roman" w:hAnsi="Times New Roman"/>
          <w:sz w:val="24"/>
          <w:szCs w:val="24"/>
        </w:rPr>
        <w:t xml:space="preserve"> ty </w:t>
      </w:r>
      <w:proofErr w:type="spellStart"/>
      <w:r w:rsidRPr="00147E0F">
        <w:rPr>
          <w:rFonts w:ascii="Times New Roman" w:hAnsi="Times New Roman"/>
          <w:sz w:val="24"/>
          <w:szCs w:val="24"/>
        </w:rPr>
        <w:t>Quản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lý</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chia </w:t>
      </w:r>
      <w:proofErr w:type="spellStart"/>
      <w:r w:rsidRPr="00147E0F">
        <w:rPr>
          <w:rFonts w:ascii="Times New Roman" w:hAnsi="Times New Roman"/>
          <w:sz w:val="24"/>
          <w:szCs w:val="24"/>
        </w:rPr>
        <w:t>tài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của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nhiều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nhuận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đã</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thực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hiện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nhưng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bảo</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đảm</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Giá</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trị</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Tài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Ròng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của</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Quỹ</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sau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thực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hiện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không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thấp</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hơn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năm</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mươi</w:t>
      </w:r>
      <w:proofErr w:type="spellEnd"/>
      <w:r w:rsidRPr="00147E0F">
        <w:rPr>
          <w:rFonts w:ascii="Times New Roman" w:hAnsi="Times New Roman"/>
          <w:sz w:val="24"/>
          <w:szCs w:val="24"/>
        </w:rPr>
        <w:t xml:space="preserve"> (50) </w:t>
      </w:r>
      <w:proofErr w:type="spellStart"/>
      <w:r w:rsidRPr="00147E0F">
        <w:rPr>
          <w:rFonts w:ascii="Times New Roman" w:hAnsi="Times New Roman"/>
          <w:sz w:val="24"/>
          <w:szCs w:val="24"/>
        </w:rPr>
        <w:t>tỷ</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đồng</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Kế</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hoạch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lộ</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trình</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thực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hiện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quy</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mô</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tài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sản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phân</w:t>
      </w:r>
      <w:proofErr w:type="spellEnd"/>
      <w:r w:rsidRPr="00147E0F">
        <w:rPr>
          <w:rFonts w:ascii="Times New Roman" w:hAnsi="Times New Roman"/>
          <w:sz w:val="24"/>
          <w:szCs w:val="24"/>
        </w:rPr>
        <w:t xml:space="preserve"> chia, </w:t>
      </w:r>
      <w:proofErr w:type="spellStart"/>
      <w:r w:rsidRPr="00147E0F">
        <w:rPr>
          <w:rFonts w:ascii="Times New Roman" w:hAnsi="Times New Roman"/>
          <w:sz w:val="24"/>
          <w:szCs w:val="24"/>
        </w:rPr>
        <w:t>nguồn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vốn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thực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hiện</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phải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được</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Đại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hội</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Nhà</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đầu</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tư</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chấp</w:t>
      </w:r>
      <w:proofErr w:type="spellEnd"/>
      <w:r w:rsidRPr="00147E0F">
        <w:rPr>
          <w:rFonts w:ascii="Times New Roman" w:hAnsi="Times New Roman"/>
          <w:sz w:val="24"/>
          <w:szCs w:val="24"/>
        </w:rPr>
        <w:t xml:space="preserve"> </w:t>
      </w:r>
      <w:proofErr w:type="spellStart"/>
      <w:r w:rsidRPr="00147E0F">
        <w:rPr>
          <w:rFonts w:ascii="Times New Roman" w:hAnsi="Times New Roman"/>
          <w:sz w:val="24"/>
          <w:szCs w:val="24"/>
        </w:rPr>
        <w:t>thuận</w:t>
      </w:r>
      <w:proofErr w:type="spellEnd"/>
    </w:p>
    <w:p w14:paraId="64BFAD6A" w14:textId="38250B18" w:rsidR="00BE6F63" w:rsidRPr="00147E0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Pr="00147E0F">
        <w:rPr>
          <w:rFonts w:ascii="Times New Roman" w:hAnsi="Times New Roman"/>
          <w:b/>
          <w:sz w:val="24"/>
          <w:szCs w:val="24"/>
          <w:lang w:val="nl-NL"/>
        </w:rPr>
        <w:t>uỹ:</w:t>
      </w:r>
    </w:p>
    <w:p w14:paraId="286CA529" w14:textId="72217CED" w:rsidR="00494F7E"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09C28344" w14:textId="0632823A" w:rsidR="00505ACF" w:rsidRDefault="00505ACF" w:rsidP="00315A8E">
      <w:pPr>
        <w:shd w:val="clear" w:color="auto" w:fill="FFFFFF"/>
        <w:tabs>
          <w:tab w:val="left" w:pos="540"/>
        </w:tabs>
        <w:spacing w:before="120" w:line="240" w:lineRule="auto"/>
        <w:jc w:val="both"/>
        <w:rPr>
          <w:rFonts w:ascii="Times New Roman" w:hAnsi="Times New Roman"/>
          <w:sz w:val="24"/>
          <w:szCs w:val="24"/>
          <w:lang w:val="nl-NL"/>
        </w:rPr>
      </w:pPr>
    </w:p>
    <w:p w14:paraId="5ABA993A" w14:textId="77777777" w:rsidR="00505ACF" w:rsidRDefault="00505ACF" w:rsidP="00315A8E">
      <w:pPr>
        <w:shd w:val="clear" w:color="auto" w:fill="FFFFFF"/>
        <w:tabs>
          <w:tab w:val="left" w:pos="540"/>
        </w:tabs>
        <w:spacing w:before="120" w:line="240" w:lineRule="auto"/>
        <w:jc w:val="both"/>
        <w:rPr>
          <w:rFonts w:ascii="Times New Roman" w:hAnsi="Times New Roman"/>
          <w:sz w:val="24"/>
          <w:szCs w:val="24"/>
          <w:lang w:val="nl-NL"/>
        </w:rPr>
      </w:pP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lastRenderedPageBreak/>
        <w:t>II. Số liệu hoạt động</w:t>
      </w:r>
    </w:p>
    <w:p w14:paraId="4BC8CBAF" w14:textId="6A703CE3"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147E0F">
        <w:rPr>
          <w:rFonts w:ascii="Times New Roman" w:hAnsi="Times New Roman"/>
          <w:b/>
          <w:sz w:val="24"/>
          <w:szCs w:val="24"/>
          <w:lang w:val="nl-NL"/>
        </w:rPr>
        <w:t xml:space="preserve">1. </w:t>
      </w:r>
      <w:r w:rsidR="00BE6F63" w:rsidRPr="00147E0F">
        <w:rPr>
          <w:rFonts w:ascii="Times New Roman" w:hAnsi="Times New Roman"/>
          <w:b/>
          <w:sz w:val="24"/>
          <w:szCs w:val="24"/>
          <w:lang w:val="nl-NL"/>
        </w:rPr>
        <w:t>Cơ cấu tài sản quỹ</w:t>
      </w:r>
      <w:r w:rsidR="00147E0F">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64A47C09"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B17BB1">
              <w:rPr>
                <w:rFonts w:ascii="Times New Roman" w:eastAsia="Times New Roman" w:hAnsi="Times New Roman"/>
                <w:b/>
                <w:sz w:val="24"/>
                <w:szCs w:val="24"/>
                <w:lang w:val="nl-NL"/>
              </w:rPr>
              <w:t>1</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68B43120"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705E593F"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067968" w:rsidRPr="004647B9" w14:paraId="24D2596E" w14:textId="77777777" w:rsidTr="00C27051">
        <w:tc>
          <w:tcPr>
            <w:tcW w:w="2134" w:type="pct"/>
            <w:shd w:val="clear" w:color="auto" w:fill="auto"/>
            <w:vAlign w:val="center"/>
          </w:tcPr>
          <w:p w14:paraId="33FCFD60" w14:textId="6918A882" w:rsidR="00067968" w:rsidRPr="004647B9" w:rsidRDefault="00067968" w:rsidP="00067968">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20D560AA"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91.92%</w:t>
            </w:r>
          </w:p>
        </w:tc>
        <w:tc>
          <w:tcPr>
            <w:tcW w:w="971" w:type="pct"/>
            <w:shd w:val="clear" w:color="auto" w:fill="auto"/>
          </w:tcPr>
          <w:p w14:paraId="57589212" w14:textId="34EA2D87"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96.17%</w:t>
            </w:r>
          </w:p>
        </w:tc>
        <w:tc>
          <w:tcPr>
            <w:tcW w:w="923" w:type="pct"/>
            <w:shd w:val="clear" w:color="auto" w:fill="auto"/>
          </w:tcPr>
          <w:p w14:paraId="7BE89613" w14:textId="16E170BB"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91.41%</w:t>
            </w:r>
          </w:p>
        </w:tc>
      </w:tr>
      <w:tr w:rsidR="00067968" w:rsidRPr="004647B9" w14:paraId="4D0C35D7" w14:textId="77777777" w:rsidTr="00C27051">
        <w:tc>
          <w:tcPr>
            <w:tcW w:w="2134" w:type="pct"/>
            <w:shd w:val="clear" w:color="auto" w:fill="auto"/>
            <w:vAlign w:val="center"/>
          </w:tcPr>
          <w:p w14:paraId="34BD949F" w14:textId="720577E3" w:rsidR="00067968" w:rsidRPr="004647B9" w:rsidRDefault="00067968" w:rsidP="00067968">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các khoản tương đương tiền</w:t>
            </w:r>
          </w:p>
        </w:tc>
        <w:tc>
          <w:tcPr>
            <w:tcW w:w="971" w:type="pct"/>
            <w:shd w:val="clear" w:color="auto" w:fill="auto"/>
          </w:tcPr>
          <w:p w14:paraId="67FB726C" w14:textId="61AE83DB"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7.60%</w:t>
            </w:r>
          </w:p>
        </w:tc>
        <w:tc>
          <w:tcPr>
            <w:tcW w:w="971" w:type="pct"/>
            <w:shd w:val="clear" w:color="auto" w:fill="auto"/>
          </w:tcPr>
          <w:p w14:paraId="34619132" w14:textId="7F056529"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2.99%</w:t>
            </w:r>
          </w:p>
        </w:tc>
        <w:tc>
          <w:tcPr>
            <w:tcW w:w="923" w:type="pct"/>
            <w:shd w:val="clear" w:color="auto" w:fill="auto"/>
          </w:tcPr>
          <w:p w14:paraId="1E0BFD96" w14:textId="0D06D8B9"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8.17%</w:t>
            </w:r>
          </w:p>
        </w:tc>
      </w:tr>
      <w:tr w:rsidR="00067968" w:rsidRPr="004647B9" w14:paraId="2B8F060E" w14:textId="77777777" w:rsidTr="00C27051">
        <w:tc>
          <w:tcPr>
            <w:tcW w:w="2134" w:type="pct"/>
            <w:shd w:val="clear" w:color="auto" w:fill="auto"/>
            <w:vAlign w:val="center"/>
          </w:tcPr>
          <w:p w14:paraId="687A447B" w14:textId="56D5388C" w:rsidR="00067968" w:rsidRPr="004647B9" w:rsidRDefault="00067968" w:rsidP="00067968">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5AB4EA60"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0.48%</w:t>
            </w:r>
          </w:p>
        </w:tc>
        <w:tc>
          <w:tcPr>
            <w:tcW w:w="971" w:type="pct"/>
            <w:shd w:val="clear" w:color="auto" w:fill="auto"/>
          </w:tcPr>
          <w:p w14:paraId="269481FC" w14:textId="6990556A"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0.84%</w:t>
            </w:r>
          </w:p>
        </w:tc>
        <w:tc>
          <w:tcPr>
            <w:tcW w:w="923" w:type="pct"/>
            <w:shd w:val="clear" w:color="auto" w:fill="auto"/>
          </w:tcPr>
          <w:p w14:paraId="2A4B7332" w14:textId="6129BCF7" w:rsidR="00067968" w:rsidRPr="00360AD3"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0.42%</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53980DED"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2BCC772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c>
          <w:tcPr>
            <w:tcW w:w="923" w:type="pct"/>
            <w:shd w:val="clear" w:color="auto" w:fill="auto"/>
            <w:vAlign w:val="center"/>
          </w:tcPr>
          <w:p w14:paraId="1F0DDFA4" w14:textId="0BD65FA4"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r>
    </w:tbl>
    <w:p w14:paraId="30C96321" w14:textId="3AE975F0"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505ACF">
        <w:rPr>
          <w:rFonts w:ascii="Times New Roman" w:hAnsi="Times New Roman"/>
          <w:b/>
          <w:sz w:val="24"/>
          <w:szCs w:val="24"/>
          <w:lang w:val="nl-NL"/>
        </w:rPr>
        <w:t>2. Chi tiết chỉ tiêu hoạt động</w:t>
      </w:r>
      <w:r w:rsidR="00505ACF">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56"/>
        <w:gridCol w:w="1783"/>
        <w:gridCol w:w="1901"/>
        <w:gridCol w:w="1714"/>
      </w:tblGrid>
      <w:tr w:rsidR="00B17BB1" w:rsidRPr="00A90AB7" w14:paraId="21034AD9" w14:textId="77777777" w:rsidTr="00181C49">
        <w:tc>
          <w:tcPr>
            <w:tcW w:w="2115" w:type="pct"/>
            <w:shd w:val="clear" w:color="auto" w:fill="auto"/>
            <w:vAlign w:val="center"/>
          </w:tcPr>
          <w:p w14:paraId="1D5B1819" w14:textId="77777777" w:rsidR="00B17BB1" w:rsidRPr="004647B9" w:rsidRDefault="00B17BB1" w:rsidP="00B17BB1">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53" w:type="pct"/>
            <w:shd w:val="clear" w:color="auto" w:fill="auto"/>
            <w:vAlign w:val="center"/>
          </w:tcPr>
          <w:p w14:paraId="4AB83160" w14:textId="070450F5"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007104D6">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tc>
        <w:tc>
          <w:tcPr>
            <w:tcW w:w="1016" w:type="pct"/>
            <w:shd w:val="clear" w:color="auto" w:fill="auto"/>
            <w:vAlign w:val="center"/>
          </w:tcPr>
          <w:p w14:paraId="174B15DB" w14:textId="723E01CD"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c>
          <w:tcPr>
            <w:tcW w:w="916" w:type="pct"/>
            <w:shd w:val="clear" w:color="auto" w:fill="auto"/>
            <w:vAlign w:val="center"/>
          </w:tcPr>
          <w:p w14:paraId="36922E34" w14:textId="3C920F8D"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19</w:t>
            </w:r>
          </w:p>
        </w:tc>
      </w:tr>
      <w:tr w:rsidR="00067968" w:rsidRPr="00A90AB7" w14:paraId="1582E00A" w14:textId="77777777" w:rsidTr="00181C49">
        <w:trPr>
          <w:trHeight w:val="648"/>
        </w:trPr>
        <w:tc>
          <w:tcPr>
            <w:tcW w:w="2115" w:type="pct"/>
            <w:shd w:val="clear" w:color="auto" w:fill="auto"/>
            <w:vAlign w:val="center"/>
          </w:tcPr>
          <w:p w14:paraId="165B2506"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53" w:type="pct"/>
            <w:shd w:val="clear" w:color="auto" w:fill="auto"/>
          </w:tcPr>
          <w:p w14:paraId="41A827E1" w14:textId="37475518"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155,356,470,595</w:t>
            </w:r>
          </w:p>
        </w:tc>
        <w:tc>
          <w:tcPr>
            <w:tcW w:w="1016" w:type="pct"/>
            <w:shd w:val="clear" w:color="auto" w:fill="auto"/>
          </w:tcPr>
          <w:p w14:paraId="6B0EAE44" w14:textId="58E213A0" w:rsidR="00067968" w:rsidRPr="003011A5" w:rsidRDefault="00067968" w:rsidP="00AF4454">
            <w:pPr>
              <w:tabs>
                <w:tab w:val="left" w:pos="540"/>
              </w:tabs>
              <w:spacing w:before="120" w:after="120" w:line="240" w:lineRule="auto"/>
              <w:ind w:right="57"/>
              <w:jc w:val="center"/>
              <w:rPr>
                <w:rFonts w:ascii="Times New Roman" w:hAnsi="Times New Roman"/>
                <w:sz w:val="24"/>
                <w:szCs w:val="24"/>
              </w:rPr>
            </w:pPr>
            <w:r w:rsidRPr="00067968">
              <w:rPr>
                <w:rFonts w:ascii="Times New Roman" w:hAnsi="Times New Roman"/>
                <w:sz w:val="24"/>
                <w:szCs w:val="24"/>
              </w:rPr>
              <w:t>102,601,036,261</w:t>
            </w:r>
          </w:p>
        </w:tc>
        <w:tc>
          <w:tcPr>
            <w:tcW w:w="916" w:type="pct"/>
            <w:shd w:val="clear" w:color="auto" w:fill="auto"/>
          </w:tcPr>
          <w:p w14:paraId="2D404424" w14:textId="4F8E8ED4"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80,870,153,926</w:t>
            </w:r>
          </w:p>
        </w:tc>
      </w:tr>
      <w:tr w:rsidR="00067968" w:rsidRPr="00A90AB7" w14:paraId="740B9023" w14:textId="77777777" w:rsidTr="00181C49">
        <w:trPr>
          <w:trHeight w:val="666"/>
        </w:trPr>
        <w:tc>
          <w:tcPr>
            <w:tcW w:w="2115" w:type="pct"/>
            <w:shd w:val="clear" w:color="auto" w:fill="auto"/>
            <w:vAlign w:val="center"/>
          </w:tcPr>
          <w:p w14:paraId="58D993A2" w14:textId="79C6E65E"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53" w:type="pct"/>
            <w:shd w:val="clear" w:color="auto" w:fill="auto"/>
          </w:tcPr>
          <w:p w14:paraId="2E0189F1" w14:textId="44ED60F3"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9,459,789.45</w:t>
            </w:r>
          </w:p>
        </w:tc>
        <w:tc>
          <w:tcPr>
            <w:tcW w:w="1016" w:type="pct"/>
            <w:shd w:val="clear" w:color="auto" w:fill="auto"/>
          </w:tcPr>
          <w:p w14:paraId="0C159F19" w14:textId="4B6917E5"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8,125,094.24</w:t>
            </w:r>
          </w:p>
        </w:tc>
        <w:tc>
          <w:tcPr>
            <w:tcW w:w="916" w:type="pct"/>
            <w:shd w:val="clear" w:color="auto" w:fill="auto"/>
          </w:tcPr>
          <w:p w14:paraId="34852C91" w14:textId="72B7140E"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7,747,580.49</w:t>
            </w:r>
          </w:p>
        </w:tc>
      </w:tr>
      <w:tr w:rsidR="00067968" w:rsidRPr="00A90AB7" w14:paraId="0F7D1AC6" w14:textId="77777777" w:rsidTr="00181C49">
        <w:tc>
          <w:tcPr>
            <w:tcW w:w="2115" w:type="pct"/>
            <w:shd w:val="clear" w:color="auto" w:fill="auto"/>
            <w:vAlign w:val="center"/>
          </w:tcPr>
          <w:p w14:paraId="7AA58A45" w14:textId="5E80AB2B"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53" w:type="pct"/>
            <w:shd w:val="clear" w:color="auto" w:fill="auto"/>
          </w:tcPr>
          <w:p w14:paraId="3BB66723" w14:textId="52B609AF"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16,422.82</w:t>
            </w:r>
          </w:p>
        </w:tc>
        <w:tc>
          <w:tcPr>
            <w:tcW w:w="1016" w:type="pct"/>
            <w:shd w:val="clear" w:color="auto" w:fill="auto"/>
          </w:tcPr>
          <w:p w14:paraId="5F9F7D1C" w14:textId="5292E217"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12,627.67</w:t>
            </w:r>
          </w:p>
        </w:tc>
        <w:tc>
          <w:tcPr>
            <w:tcW w:w="916" w:type="pct"/>
            <w:shd w:val="clear" w:color="auto" w:fill="auto"/>
          </w:tcPr>
          <w:p w14:paraId="048F7B62" w14:textId="42F6357D"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10,438.11</w:t>
            </w:r>
          </w:p>
        </w:tc>
      </w:tr>
      <w:tr w:rsidR="00067968" w:rsidRPr="00A90AB7" w14:paraId="395AB2AB" w14:textId="77777777" w:rsidTr="00181C49">
        <w:tc>
          <w:tcPr>
            <w:tcW w:w="2115" w:type="pct"/>
            <w:shd w:val="clear" w:color="auto" w:fill="auto"/>
            <w:vAlign w:val="center"/>
          </w:tcPr>
          <w:p w14:paraId="4D78CBEF"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53" w:type="pct"/>
            <w:shd w:val="clear" w:color="auto" w:fill="auto"/>
          </w:tcPr>
          <w:p w14:paraId="2E347DE5" w14:textId="061609D8"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16,605.09</w:t>
            </w:r>
          </w:p>
        </w:tc>
        <w:tc>
          <w:tcPr>
            <w:tcW w:w="1016" w:type="pct"/>
            <w:shd w:val="clear" w:color="auto" w:fill="auto"/>
          </w:tcPr>
          <w:p w14:paraId="2ECE8D83" w14:textId="6DFCD41A"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12,627.67</w:t>
            </w:r>
          </w:p>
        </w:tc>
        <w:tc>
          <w:tcPr>
            <w:tcW w:w="916" w:type="pct"/>
            <w:shd w:val="clear" w:color="auto" w:fill="auto"/>
          </w:tcPr>
          <w:p w14:paraId="4517B3D4" w14:textId="1EF4BD98"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11,121.66</w:t>
            </w:r>
          </w:p>
        </w:tc>
      </w:tr>
      <w:tr w:rsidR="00067968" w:rsidRPr="00A90AB7" w14:paraId="3A3FE5B3" w14:textId="77777777" w:rsidTr="00181C49">
        <w:tc>
          <w:tcPr>
            <w:tcW w:w="2115" w:type="pct"/>
            <w:shd w:val="clear" w:color="auto" w:fill="auto"/>
            <w:vAlign w:val="center"/>
          </w:tcPr>
          <w:p w14:paraId="67851E1D"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53" w:type="pct"/>
            <w:shd w:val="clear" w:color="auto" w:fill="auto"/>
          </w:tcPr>
          <w:p w14:paraId="78E13020" w14:textId="3CE3894F"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15,520.93</w:t>
            </w:r>
          </w:p>
        </w:tc>
        <w:tc>
          <w:tcPr>
            <w:tcW w:w="1016" w:type="pct"/>
            <w:shd w:val="clear" w:color="auto" w:fill="auto"/>
          </w:tcPr>
          <w:p w14:paraId="7200238C" w14:textId="1F0220F0"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10,340.35</w:t>
            </w:r>
          </w:p>
        </w:tc>
        <w:tc>
          <w:tcPr>
            <w:tcW w:w="916" w:type="pct"/>
            <w:shd w:val="clear" w:color="auto" w:fill="auto"/>
          </w:tcPr>
          <w:p w14:paraId="0A60AFAB" w14:textId="7FE814BA" w:rsidR="00067968" w:rsidRPr="003011A5"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10,333.88</w:t>
            </w:r>
          </w:p>
        </w:tc>
      </w:tr>
      <w:tr w:rsidR="00AF4454" w:rsidRPr="00A90AB7" w14:paraId="680FA9D8" w14:textId="77777777" w:rsidTr="00181C49">
        <w:tc>
          <w:tcPr>
            <w:tcW w:w="2115" w:type="pct"/>
            <w:shd w:val="clear" w:color="auto" w:fill="auto"/>
            <w:vAlign w:val="center"/>
          </w:tcPr>
          <w:p w14:paraId="405BCECE" w14:textId="77777777" w:rsidR="00AF4454" w:rsidRPr="00A90AB7" w:rsidRDefault="00AF4454" w:rsidP="00AF445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53" w:type="pct"/>
            <w:shd w:val="clear" w:color="auto" w:fill="auto"/>
            <w:vAlign w:val="center"/>
          </w:tcPr>
          <w:p w14:paraId="1D199951" w14:textId="294C6BC8"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2)</w:t>
            </w:r>
          </w:p>
        </w:tc>
        <w:tc>
          <w:tcPr>
            <w:tcW w:w="1016" w:type="pct"/>
            <w:shd w:val="clear" w:color="auto" w:fill="auto"/>
            <w:vAlign w:val="center"/>
          </w:tcPr>
          <w:p w14:paraId="7A1B8227" w14:textId="7D9D7790"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2)</w:t>
            </w:r>
          </w:p>
        </w:tc>
        <w:tc>
          <w:tcPr>
            <w:tcW w:w="916" w:type="pct"/>
            <w:shd w:val="clear" w:color="auto" w:fill="auto"/>
            <w:vAlign w:val="center"/>
          </w:tcPr>
          <w:p w14:paraId="0C5D082F" w14:textId="4034AE95" w:rsidR="00AF4454" w:rsidRPr="00A90AB7" w:rsidRDefault="00AF4454" w:rsidP="00AF4454">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(2)</w:t>
            </w:r>
          </w:p>
        </w:tc>
      </w:tr>
      <w:tr w:rsidR="00AF4454" w:rsidRPr="00A90AB7" w14:paraId="2492316D" w14:textId="77777777" w:rsidTr="00181C49">
        <w:tc>
          <w:tcPr>
            <w:tcW w:w="2115" w:type="pct"/>
            <w:shd w:val="clear" w:color="auto" w:fill="auto"/>
            <w:vAlign w:val="center"/>
          </w:tcPr>
          <w:p w14:paraId="3BF3BB34" w14:textId="77777777" w:rsidR="00AF4454" w:rsidRPr="00A90AB7" w:rsidRDefault="00AF4454" w:rsidP="00AF445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53" w:type="pct"/>
            <w:shd w:val="clear" w:color="auto" w:fill="auto"/>
            <w:vAlign w:val="center"/>
          </w:tcPr>
          <w:p w14:paraId="10619DC6" w14:textId="5148BDF2"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2)</w:t>
            </w:r>
          </w:p>
        </w:tc>
        <w:tc>
          <w:tcPr>
            <w:tcW w:w="1016" w:type="pct"/>
            <w:shd w:val="clear" w:color="auto" w:fill="auto"/>
            <w:vAlign w:val="center"/>
          </w:tcPr>
          <w:p w14:paraId="0BEE6D47" w14:textId="4D316017"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2)</w:t>
            </w:r>
          </w:p>
        </w:tc>
        <w:tc>
          <w:tcPr>
            <w:tcW w:w="916" w:type="pct"/>
            <w:shd w:val="clear" w:color="auto" w:fill="auto"/>
            <w:vAlign w:val="center"/>
          </w:tcPr>
          <w:p w14:paraId="54E3070C" w14:textId="0A179569" w:rsidR="00AF4454" w:rsidRPr="00A90AB7" w:rsidRDefault="00AF4454" w:rsidP="00AF4454">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(2)</w:t>
            </w:r>
          </w:p>
        </w:tc>
      </w:tr>
      <w:tr w:rsidR="00AF4454" w:rsidRPr="00A90AB7" w14:paraId="51B49DCF" w14:textId="77777777" w:rsidTr="00181C49">
        <w:tc>
          <w:tcPr>
            <w:tcW w:w="2115" w:type="pct"/>
            <w:shd w:val="clear" w:color="auto" w:fill="auto"/>
            <w:vAlign w:val="center"/>
          </w:tcPr>
          <w:p w14:paraId="177EE2D0" w14:textId="77777777" w:rsidR="00AF4454" w:rsidRPr="00A90AB7" w:rsidRDefault="00AF4454" w:rsidP="00AF445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53" w:type="pct"/>
            <w:shd w:val="clear" w:color="auto" w:fill="auto"/>
            <w:vAlign w:val="center"/>
          </w:tcPr>
          <w:p w14:paraId="79D01296" w14:textId="2D1BF993"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2)</w:t>
            </w:r>
          </w:p>
        </w:tc>
        <w:tc>
          <w:tcPr>
            <w:tcW w:w="1016" w:type="pct"/>
            <w:shd w:val="clear" w:color="auto" w:fill="auto"/>
            <w:vAlign w:val="center"/>
          </w:tcPr>
          <w:p w14:paraId="3E65FA34" w14:textId="79A64037"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2)</w:t>
            </w:r>
          </w:p>
        </w:tc>
        <w:tc>
          <w:tcPr>
            <w:tcW w:w="916" w:type="pct"/>
            <w:shd w:val="clear" w:color="auto" w:fill="auto"/>
            <w:vAlign w:val="center"/>
          </w:tcPr>
          <w:p w14:paraId="693C8484" w14:textId="174F3F47" w:rsidR="00AF4454" w:rsidRPr="00A90AB7" w:rsidRDefault="00AF4454" w:rsidP="00AF4454">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(2)</w:t>
            </w:r>
          </w:p>
        </w:tc>
      </w:tr>
      <w:tr w:rsidR="00067968" w:rsidRPr="00A90AB7" w14:paraId="3D43ACEE" w14:textId="77777777" w:rsidTr="00181C49">
        <w:tc>
          <w:tcPr>
            <w:tcW w:w="2115" w:type="pct"/>
            <w:shd w:val="clear" w:color="auto" w:fill="auto"/>
            <w:vAlign w:val="center"/>
          </w:tcPr>
          <w:p w14:paraId="1916F095"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53" w:type="pct"/>
            <w:shd w:val="clear" w:color="auto" w:fill="auto"/>
          </w:tcPr>
          <w:p w14:paraId="20184A90" w14:textId="7E1AEE9E"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5.90%</w:t>
            </w:r>
          </w:p>
        </w:tc>
        <w:tc>
          <w:tcPr>
            <w:tcW w:w="1016" w:type="pct"/>
            <w:shd w:val="clear" w:color="auto" w:fill="auto"/>
          </w:tcPr>
          <w:p w14:paraId="5EF14642" w14:textId="6A4129BE"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23.59%</w:t>
            </w:r>
          </w:p>
        </w:tc>
        <w:tc>
          <w:tcPr>
            <w:tcW w:w="916" w:type="pct"/>
            <w:shd w:val="clear" w:color="auto" w:fill="auto"/>
          </w:tcPr>
          <w:p w14:paraId="69214AE9" w14:textId="60EB5216"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-4.53%</w:t>
            </w:r>
          </w:p>
        </w:tc>
      </w:tr>
      <w:tr w:rsidR="00067968" w:rsidRPr="00A90AB7" w14:paraId="39E29FC2" w14:textId="77777777" w:rsidTr="00181C49">
        <w:tc>
          <w:tcPr>
            <w:tcW w:w="2115" w:type="pct"/>
            <w:shd w:val="clear" w:color="auto" w:fill="auto"/>
            <w:vAlign w:val="center"/>
          </w:tcPr>
          <w:p w14:paraId="684DE998"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53" w:type="pct"/>
            <w:shd w:val="clear" w:color="auto" w:fill="auto"/>
          </w:tcPr>
          <w:p w14:paraId="100762D5" w14:textId="3EB8FDB1"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-1.43%</w:t>
            </w:r>
          </w:p>
        </w:tc>
        <w:tc>
          <w:tcPr>
            <w:tcW w:w="1016" w:type="pct"/>
            <w:shd w:val="clear" w:color="auto" w:fill="auto"/>
          </w:tcPr>
          <w:p w14:paraId="06674D77" w14:textId="59E95820"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18.25%</w:t>
            </w:r>
          </w:p>
        </w:tc>
        <w:tc>
          <w:tcPr>
            <w:tcW w:w="916" w:type="pct"/>
            <w:shd w:val="clear" w:color="auto" w:fill="auto"/>
          </w:tcPr>
          <w:p w14:paraId="441377AA" w14:textId="67E6A1E2"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-4.34%</w:t>
            </w:r>
          </w:p>
        </w:tc>
      </w:tr>
      <w:tr w:rsidR="00067968" w:rsidRPr="00A90AB7" w14:paraId="5D4A2E39" w14:textId="77777777" w:rsidTr="00181C49">
        <w:tc>
          <w:tcPr>
            <w:tcW w:w="2115" w:type="pct"/>
            <w:shd w:val="clear" w:color="auto" w:fill="auto"/>
            <w:vAlign w:val="center"/>
          </w:tcPr>
          <w:p w14:paraId="461797A3"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53" w:type="pct"/>
            <w:shd w:val="clear" w:color="auto" w:fill="auto"/>
          </w:tcPr>
          <w:p w14:paraId="122130F8" w14:textId="15DD4846"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4.90%</w:t>
            </w:r>
          </w:p>
        </w:tc>
        <w:tc>
          <w:tcPr>
            <w:tcW w:w="1016" w:type="pct"/>
            <w:shd w:val="clear" w:color="auto" w:fill="auto"/>
          </w:tcPr>
          <w:p w14:paraId="1E604B06" w14:textId="652A71DB"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4.41%</w:t>
            </w:r>
          </w:p>
        </w:tc>
        <w:tc>
          <w:tcPr>
            <w:tcW w:w="916" w:type="pct"/>
            <w:shd w:val="clear" w:color="auto" w:fill="auto"/>
          </w:tcPr>
          <w:p w14:paraId="6F2AF01B" w14:textId="285EC2E4"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-1.07%</w:t>
            </w:r>
          </w:p>
        </w:tc>
      </w:tr>
      <w:tr w:rsidR="00AF4454" w:rsidRPr="00A90AB7" w14:paraId="4CC4F0AA" w14:textId="77777777" w:rsidTr="00181C49">
        <w:tc>
          <w:tcPr>
            <w:tcW w:w="2115" w:type="pct"/>
            <w:shd w:val="clear" w:color="auto" w:fill="auto"/>
            <w:vAlign w:val="center"/>
          </w:tcPr>
          <w:p w14:paraId="01DC28A3" w14:textId="77777777" w:rsidR="00AF4454" w:rsidRPr="00A90AB7" w:rsidRDefault="00AF4454" w:rsidP="00AF445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53" w:type="pct"/>
            <w:shd w:val="clear" w:color="auto" w:fill="auto"/>
            <w:vAlign w:val="center"/>
          </w:tcPr>
          <w:p w14:paraId="760FA637" w14:textId="531764FB"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3)</w:t>
            </w:r>
          </w:p>
        </w:tc>
        <w:tc>
          <w:tcPr>
            <w:tcW w:w="1016" w:type="pct"/>
            <w:shd w:val="clear" w:color="auto" w:fill="auto"/>
            <w:vAlign w:val="center"/>
          </w:tcPr>
          <w:p w14:paraId="5168843E" w14:textId="1ADF1898"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3)</w:t>
            </w:r>
          </w:p>
        </w:tc>
        <w:tc>
          <w:tcPr>
            <w:tcW w:w="916" w:type="pct"/>
            <w:shd w:val="clear" w:color="auto" w:fill="auto"/>
            <w:vAlign w:val="center"/>
          </w:tcPr>
          <w:p w14:paraId="31A61D75" w14:textId="702E3229" w:rsidR="00AF4454" w:rsidRPr="00A90AB7" w:rsidRDefault="00AF4454" w:rsidP="00AF4454">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(3)</w:t>
            </w:r>
          </w:p>
        </w:tc>
      </w:tr>
      <w:tr w:rsidR="00AF4454" w:rsidRPr="00A90AB7" w14:paraId="6EAB03D4" w14:textId="77777777" w:rsidTr="00181C49">
        <w:tc>
          <w:tcPr>
            <w:tcW w:w="2115" w:type="pct"/>
            <w:shd w:val="clear" w:color="auto" w:fill="auto"/>
            <w:vAlign w:val="center"/>
          </w:tcPr>
          <w:p w14:paraId="3A517776" w14:textId="77777777" w:rsidR="00AF4454" w:rsidRPr="00A90AB7" w:rsidRDefault="00AF4454" w:rsidP="00AF445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2.11.Phân phối ròng trên 1 đơn vị CCQ</w:t>
            </w:r>
          </w:p>
        </w:tc>
        <w:tc>
          <w:tcPr>
            <w:tcW w:w="953" w:type="pct"/>
            <w:shd w:val="clear" w:color="auto" w:fill="auto"/>
            <w:vAlign w:val="center"/>
          </w:tcPr>
          <w:p w14:paraId="6260AB34" w14:textId="51CDB4EA"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3)</w:t>
            </w:r>
          </w:p>
        </w:tc>
        <w:tc>
          <w:tcPr>
            <w:tcW w:w="1016" w:type="pct"/>
            <w:shd w:val="clear" w:color="auto" w:fill="auto"/>
            <w:vAlign w:val="center"/>
          </w:tcPr>
          <w:p w14:paraId="3194D2B7" w14:textId="7BAF3866"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3)</w:t>
            </w:r>
          </w:p>
        </w:tc>
        <w:tc>
          <w:tcPr>
            <w:tcW w:w="916" w:type="pct"/>
            <w:shd w:val="clear" w:color="auto" w:fill="auto"/>
            <w:vAlign w:val="center"/>
          </w:tcPr>
          <w:p w14:paraId="356494BE" w14:textId="67607B42" w:rsidR="00AF4454" w:rsidRPr="00A90AB7" w:rsidRDefault="00AF4454" w:rsidP="00AF4454">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(3)</w:t>
            </w:r>
          </w:p>
        </w:tc>
      </w:tr>
      <w:tr w:rsidR="00AF4454" w:rsidRPr="00A90AB7" w14:paraId="484A1706" w14:textId="77777777" w:rsidTr="00181C49">
        <w:tc>
          <w:tcPr>
            <w:tcW w:w="2115" w:type="pct"/>
            <w:shd w:val="clear" w:color="auto" w:fill="auto"/>
            <w:vAlign w:val="center"/>
          </w:tcPr>
          <w:p w14:paraId="31BECECF" w14:textId="77777777" w:rsidR="00AF4454" w:rsidRPr="00A90AB7" w:rsidRDefault="00AF4454" w:rsidP="00AF445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53" w:type="pct"/>
            <w:shd w:val="clear" w:color="auto" w:fill="auto"/>
            <w:vAlign w:val="center"/>
          </w:tcPr>
          <w:p w14:paraId="0010992B" w14:textId="7E8AAE65"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3)</w:t>
            </w:r>
          </w:p>
        </w:tc>
        <w:tc>
          <w:tcPr>
            <w:tcW w:w="1016" w:type="pct"/>
            <w:shd w:val="clear" w:color="auto" w:fill="auto"/>
            <w:vAlign w:val="center"/>
          </w:tcPr>
          <w:p w14:paraId="17D0C26B" w14:textId="2F172E99" w:rsidR="00AF4454" w:rsidRPr="00631DA1" w:rsidRDefault="00AF4454" w:rsidP="00AF445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N/</w:t>
            </w:r>
            <w:proofErr w:type="gramStart"/>
            <w:r>
              <w:rPr>
                <w:rFonts w:ascii="Times New Roman" w:hAnsi="Times New Roman"/>
                <w:sz w:val="24"/>
                <w:szCs w:val="24"/>
              </w:rPr>
              <w:t>A</w:t>
            </w:r>
            <w:r>
              <w:rPr>
                <w:rFonts w:ascii="Times New Roman" w:eastAsia="Times New Roman" w:hAnsi="Times New Roman"/>
                <w:sz w:val="24"/>
                <w:szCs w:val="24"/>
                <w:vertAlign w:val="superscript"/>
                <w:lang w:val="nl-NL"/>
              </w:rPr>
              <w:t>(</w:t>
            </w:r>
            <w:proofErr w:type="gramEnd"/>
            <w:r>
              <w:rPr>
                <w:rFonts w:ascii="Times New Roman" w:eastAsia="Times New Roman" w:hAnsi="Times New Roman"/>
                <w:sz w:val="24"/>
                <w:szCs w:val="24"/>
                <w:vertAlign w:val="superscript"/>
                <w:lang w:val="nl-NL"/>
              </w:rPr>
              <w:t>3)</w:t>
            </w:r>
          </w:p>
        </w:tc>
        <w:tc>
          <w:tcPr>
            <w:tcW w:w="916" w:type="pct"/>
            <w:shd w:val="clear" w:color="auto" w:fill="auto"/>
            <w:vAlign w:val="center"/>
          </w:tcPr>
          <w:p w14:paraId="3EBF3467" w14:textId="2BECAB25" w:rsidR="00AF4454" w:rsidRPr="00A90AB7" w:rsidRDefault="00AF4454" w:rsidP="00AF4454">
            <w:pPr>
              <w:tabs>
                <w:tab w:val="left" w:pos="540"/>
              </w:tabs>
              <w:spacing w:before="120" w:after="120" w:line="240" w:lineRule="auto"/>
              <w:ind w:left="57"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(3)</w:t>
            </w:r>
          </w:p>
        </w:tc>
      </w:tr>
      <w:tr w:rsidR="00067968" w:rsidRPr="00A90AB7" w14:paraId="59EE0EC7" w14:textId="77777777" w:rsidTr="00181C49">
        <w:tc>
          <w:tcPr>
            <w:tcW w:w="2115" w:type="pct"/>
            <w:shd w:val="clear" w:color="auto" w:fill="auto"/>
            <w:vAlign w:val="center"/>
          </w:tcPr>
          <w:p w14:paraId="5D620D01"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53" w:type="pct"/>
            <w:shd w:val="clear" w:color="auto" w:fill="auto"/>
          </w:tcPr>
          <w:p w14:paraId="1599D8AD" w14:textId="43067EAE" w:rsidR="00067968" w:rsidRPr="00631DA1"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3.15%</w:t>
            </w:r>
          </w:p>
        </w:tc>
        <w:tc>
          <w:tcPr>
            <w:tcW w:w="1016" w:type="pct"/>
            <w:shd w:val="clear" w:color="auto" w:fill="auto"/>
          </w:tcPr>
          <w:p w14:paraId="4A1A1B3F" w14:textId="6B36A7E2" w:rsidR="00067968" w:rsidRPr="00631DA1"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3.09%</w:t>
            </w:r>
          </w:p>
        </w:tc>
        <w:tc>
          <w:tcPr>
            <w:tcW w:w="916" w:type="pct"/>
            <w:shd w:val="clear" w:color="auto" w:fill="auto"/>
          </w:tcPr>
          <w:p w14:paraId="669414C7" w14:textId="2AD37EAA"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3.53%</w:t>
            </w:r>
          </w:p>
        </w:tc>
      </w:tr>
      <w:tr w:rsidR="00067968" w:rsidRPr="00A90AB7" w14:paraId="5F792137" w14:textId="77777777" w:rsidTr="00181C49">
        <w:tc>
          <w:tcPr>
            <w:tcW w:w="2115" w:type="pct"/>
            <w:shd w:val="clear" w:color="auto" w:fill="auto"/>
            <w:vAlign w:val="center"/>
          </w:tcPr>
          <w:p w14:paraId="1CB9C522"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53" w:type="pct"/>
            <w:shd w:val="clear" w:color="auto" w:fill="auto"/>
          </w:tcPr>
          <w:p w14:paraId="1DCC5EDA" w14:textId="05701B76" w:rsidR="00067968" w:rsidRPr="00631DA1"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3.025</w:t>
            </w:r>
          </w:p>
        </w:tc>
        <w:tc>
          <w:tcPr>
            <w:tcW w:w="1016" w:type="pct"/>
            <w:shd w:val="clear" w:color="auto" w:fill="auto"/>
          </w:tcPr>
          <w:p w14:paraId="445F9F32" w14:textId="237BE779" w:rsidR="00067968" w:rsidRPr="00631DA1"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1.403</w:t>
            </w:r>
          </w:p>
        </w:tc>
        <w:tc>
          <w:tcPr>
            <w:tcW w:w="916" w:type="pct"/>
            <w:shd w:val="clear" w:color="auto" w:fill="auto"/>
          </w:tcPr>
          <w:p w14:paraId="236B1E60" w14:textId="3B48CB63" w:rsidR="00067968" w:rsidRPr="00E67CAC" w:rsidRDefault="00067968" w:rsidP="00AF4454">
            <w:pPr>
              <w:tabs>
                <w:tab w:val="left" w:pos="540"/>
              </w:tabs>
              <w:spacing w:before="120" w:after="120" w:line="240" w:lineRule="auto"/>
              <w:ind w:left="57" w:right="57"/>
              <w:jc w:val="center"/>
              <w:rPr>
                <w:rFonts w:ascii="Times New Roman" w:hAnsi="Times New Roman"/>
                <w:sz w:val="24"/>
                <w:szCs w:val="24"/>
              </w:rPr>
            </w:pPr>
            <w:r w:rsidRPr="00067968">
              <w:rPr>
                <w:rFonts w:ascii="Times New Roman" w:hAnsi="Times New Roman"/>
                <w:sz w:val="24"/>
                <w:szCs w:val="24"/>
              </w:rPr>
              <w:t>1.981</w:t>
            </w:r>
          </w:p>
        </w:tc>
      </w:tr>
    </w:tbl>
    <w:p w14:paraId="169AA3BF" w14:textId="71479CC4" w:rsidR="00BE6F63" w:rsidRPr="00A90AB7" w:rsidRDefault="00BE6F63" w:rsidP="00505ACF">
      <w:pPr>
        <w:tabs>
          <w:tab w:val="left" w:pos="540"/>
        </w:tabs>
        <w:spacing w:before="120" w:after="0" w:line="360" w:lineRule="auto"/>
        <w:jc w:val="both"/>
        <w:rPr>
          <w:rFonts w:ascii="Times New Roman" w:hAnsi="Times New Roman"/>
          <w:sz w:val="24"/>
          <w:szCs w:val="24"/>
          <w:lang w:val="nl-NL"/>
        </w:rPr>
      </w:pPr>
      <w:r w:rsidRPr="00505ACF">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067968" w:rsidRPr="00A90AB7" w14:paraId="5EEB48C6" w14:textId="77777777" w:rsidTr="0047202A">
        <w:tc>
          <w:tcPr>
            <w:tcW w:w="2115" w:type="pct"/>
            <w:shd w:val="clear" w:color="auto" w:fill="auto"/>
            <w:vAlign w:val="center"/>
          </w:tcPr>
          <w:p w14:paraId="5DDCFCF4" w14:textId="77777777" w:rsidR="00067968" w:rsidRPr="00A90AB7" w:rsidRDefault="00067968" w:rsidP="00067968">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tcPr>
          <w:p w14:paraId="01E10D90" w14:textId="22910749" w:rsidR="00067968" w:rsidRPr="00631DA1"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30.05%</w:t>
            </w:r>
          </w:p>
        </w:tc>
        <w:tc>
          <w:tcPr>
            <w:tcW w:w="1441" w:type="pct"/>
            <w:shd w:val="clear" w:color="auto" w:fill="auto"/>
          </w:tcPr>
          <w:p w14:paraId="31D1F686" w14:textId="30D14673" w:rsidR="00067968" w:rsidRPr="00A90AB7"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30.05%</w:t>
            </w:r>
          </w:p>
        </w:tc>
      </w:tr>
      <w:tr w:rsidR="00AF4454" w:rsidRPr="00A90AB7" w14:paraId="3E717F15" w14:textId="77777777" w:rsidTr="00631DA1">
        <w:tc>
          <w:tcPr>
            <w:tcW w:w="2115" w:type="pct"/>
            <w:shd w:val="clear" w:color="auto" w:fill="auto"/>
            <w:vAlign w:val="center"/>
          </w:tcPr>
          <w:p w14:paraId="0353B976" w14:textId="77777777" w:rsidR="00AF4454" w:rsidRPr="00A90AB7" w:rsidRDefault="00AF4454" w:rsidP="00AF4454">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5BF9AD54" w:rsidR="00AF4454" w:rsidRPr="00A90AB7" w:rsidRDefault="00AF4454" w:rsidP="00AF445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59D96CCC" w:rsidR="00AF4454" w:rsidRPr="00A90AB7" w:rsidRDefault="00AF4454" w:rsidP="00AF445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(1)</w:t>
            </w:r>
          </w:p>
        </w:tc>
      </w:tr>
      <w:tr w:rsidR="00067968" w:rsidRPr="00A90AB7" w14:paraId="15A9300F" w14:textId="77777777" w:rsidTr="00431049">
        <w:tc>
          <w:tcPr>
            <w:tcW w:w="2115" w:type="pct"/>
            <w:shd w:val="clear" w:color="auto" w:fill="auto"/>
            <w:vAlign w:val="center"/>
          </w:tcPr>
          <w:p w14:paraId="23252578" w14:textId="77777777" w:rsidR="00067968" w:rsidRPr="00A90AB7" w:rsidRDefault="00067968" w:rsidP="00067968">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tcPr>
          <w:p w14:paraId="631B2217" w14:textId="6E448B5F" w:rsidR="00067968" w:rsidRPr="00C17A7C"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64.23%</w:t>
            </w:r>
          </w:p>
        </w:tc>
        <w:tc>
          <w:tcPr>
            <w:tcW w:w="1441" w:type="pct"/>
            <w:shd w:val="clear" w:color="auto" w:fill="auto"/>
          </w:tcPr>
          <w:p w14:paraId="22F7C0B9" w14:textId="56A3B3C5" w:rsidR="00067968" w:rsidRPr="00A90AB7" w:rsidRDefault="00067968" w:rsidP="00067968">
            <w:pPr>
              <w:tabs>
                <w:tab w:val="left" w:pos="540"/>
              </w:tabs>
              <w:spacing w:before="120"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18.00%</w:t>
            </w:r>
          </w:p>
        </w:tc>
      </w:tr>
      <w:tr w:rsidR="00AF4454" w:rsidRPr="00A90AB7" w14:paraId="60120E2C" w14:textId="77777777" w:rsidTr="00631DA1">
        <w:trPr>
          <w:trHeight w:val="378"/>
        </w:trPr>
        <w:tc>
          <w:tcPr>
            <w:tcW w:w="2115" w:type="pct"/>
            <w:shd w:val="clear" w:color="auto" w:fill="auto"/>
            <w:vAlign w:val="center"/>
          </w:tcPr>
          <w:p w14:paraId="16A5616E" w14:textId="77777777" w:rsidR="00AF4454" w:rsidRPr="00A90AB7" w:rsidRDefault="00AF4454" w:rsidP="00AF4454">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0CCA44FF" w:rsidR="00AF4454" w:rsidRPr="00A90AB7" w:rsidRDefault="00AF4454" w:rsidP="00AF4454">
            <w:pPr>
              <w:tabs>
                <w:tab w:val="left" w:pos="540"/>
              </w:tabs>
              <w:spacing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28A8552E" w:rsidR="00AF4454" w:rsidRPr="00A90AB7" w:rsidRDefault="00AF4454" w:rsidP="00AF4454">
            <w:pPr>
              <w:tabs>
                <w:tab w:val="left" w:pos="540"/>
              </w:tabs>
              <w:spacing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N/A</w:t>
            </w:r>
            <w:r>
              <w:rPr>
                <w:rFonts w:ascii="Times New Roman" w:eastAsia="Times New Roman" w:hAnsi="Times New Roman"/>
                <w:sz w:val="24"/>
                <w:szCs w:val="24"/>
                <w:vertAlign w:val="superscript"/>
                <w:lang w:val="nl-NL"/>
              </w:rPr>
              <w:t>(4)</w:t>
            </w:r>
          </w:p>
        </w:tc>
      </w:tr>
    </w:tbl>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505ACF">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8"/>
        <w:gridCol w:w="1169"/>
        <w:gridCol w:w="1349"/>
        <w:gridCol w:w="1441"/>
        <w:gridCol w:w="1437"/>
      </w:tblGrid>
      <w:tr w:rsidR="0001588B" w:rsidRPr="00A90AB7" w14:paraId="6BD9BADA" w14:textId="77777777" w:rsidTr="00181C49">
        <w:trPr>
          <w:trHeight w:val="774"/>
        </w:trPr>
        <w:tc>
          <w:tcPr>
            <w:tcW w:w="2115"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625" w:type="pct"/>
            <w:shd w:val="clear" w:color="auto" w:fill="auto"/>
            <w:vAlign w:val="center"/>
          </w:tcPr>
          <w:p w14:paraId="4D4EEB62" w14:textId="6409F224"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Pr="009F4856">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br/>
              <w:t>(%)</w:t>
            </w:r>
          </w:p>
        </w:tc>
        <w:tc>
          <w:tcPr>
            <w:tcW w:w="721" w:type="pct"/>
            <w:shd w:val="clear" w:color="auto" w:fill="auto"/>
            <w:vAlign w:val="center"/>
          </w:tcPr>
          <w:p w14:paraId="595F60E4" w14:textId="1D19020D"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r w:rsidR="0017714B" w:rsidRPr="009F4856">
              <w:rPr>
                <w:rFonts w:ascii="Times New Roman" w:eastAsia="Times New Roman" w:hAnsi="Times New Roman"/>
                <w:b/>
                <w:sz w:val="24"/>
                <w:szCs w:val="24"/>
                <w:lang w:val="nl-NL"/>
              </w:rPr>
              <w:br/>
              <w:t>(%)</w:t>
            </w:r>
          </w:p>
        </w:tc>
        <w:tc>
          <w:tcPr>
            <w:tcW w:w="770" w:type="pct"/>
            <w:shd w:val="clear" w:color="auto" w:fill="auto"/>
            <w:vAlign w:val="center"/>
          </w:tcPr>
          <w:p w14:paraId="2B058C43" w14:textId="3587ECB6"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r w:rsidR="0017714B" w:rsidRPr="009F4856">
              <w:rPr>
                <w:rFonts w:ascii="Times New Roman" w:eastAsia="Times New Roman" w:hAnsi="Times New Roman"/>
                <w:b/>
                <w:sz w:val="24"/>
                <w:szCs w:val="24"/>
                <w:lang w:val="nl-NL"/>
              </w:rPr>
              <w:br/>
              <w:t>(%)</w:t>
            </w:r>
          </w:p>
        </w:tc>
        <w:tc>
          <w:tcPr>
            <w:tcW w:w="768" w:type="pct"/>
            <w:shd w:val="clear" w:color="auto" w:fill="auto"/>
            <w:vAlign w:val="center"/>
          </w:tcPr>
          <w:p w14:paraId="2844A0CE" w14:textId="7BC4147D"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4D787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4D7871">
              <w:rPr>
                <w:rFonts w:ascii="Times New Roman" w:eastAsia="Times New Roman" w:hAnsi="Times New Roman"/>
                <w:b/>
                <w:sz w:val="24"/>
                <w:szCs w:val="24"/>
                <w:lang w:val="nl-NL"/>
              </w:rPr>
              <w:t>12</w:t>
            </w:r>
            <w:r w:rsidR="0001588B" w:rsidRPr="009F4856">
              <w:rPr>
                <w:rFonts w:ascii="Times New Roman" w:eastAsia="Times New Roman" w:hAnsi="Times New Roman"/>
                <w:b/>
                <w:sz w:val="24"/>
                <w:szCs w:val="24"/>
                <w:lang w:val="nl-NL"/>
              </w:rPr>
              <w:t>/201</w:t>
            </w:r>
            <w:r w:rsidR="00B17BB1">
              <w:rPr>
                <w:rFonts w:ascii="Times New Roman" w:eastAsia="Times New Roman" w:hAnsi="Times New Roman"/>
                <w:b/>
                <w:sz w:val="24"/>
                <w:szCs w:val="24"/>
                <w:lang w:val="nl-NL"/>
              </w:rPr>
              <w:t>8</w:t>
            </w:r>
            <w:r w:rsidR="0017714B" w:rsidRPr="009F4856">
              <w:rPr>
                <w:rFonts w:ascii="Times New Roman" w:eastAsia="Times New Roman" w:hAnsi="Times New Roman"/>
                <w:b/>
                <w:sz w:val="24"/>
                <w:szCs w:val="24"/>
                <w:lang w:val="nl-NL"/>
              </w:rPr>
              <w:br/>
              <w:t>(%)</w:t>
            </w:r>
          </w:p>
        </w:tc>
      </w:tr>
      <w:tr w:rsidR="00067968" w:rsidRPr="00A90AB7" w14:paraId="2450D773" w14:textId="77777777" w:rsidTr="00181C49">
        <w:tc>
          <w:tcPr>
            <w:tcW w:w="2115" w:type="pct"/>
            <w:shd w:val="clear" w:color="auto" w:fill="auto"/>
          </w:tcPr>
          <w:p w14:paraId="1AE229FE"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625" w:type="pct"/>
            <w:shd w:val="clear" w:color="auto" w:fill="auto"/>
          </w:tcPr>
          <w:p w14:paraId="7171C538" w14:textId="4D20BED8" w:rsidR="00067968" w:rsidRPr="00A90AB7" w:rsidRDefault="00067968" w:rsidP="00067968">
            <w:pPr>
              <w:tabs>
                <w:tab w:val="left" w:pos="540"/>
              </w:tabs>
              <w:spacing w:before="12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30.05%</w:t>
            </w:r>
          </w:p>
        </w:tc>
        <w:tc>
          <w:tcPr>
            <w:tcW w:w="721" w:type="pct"/>
            <w:shd w:val="clear" w:color="auto" w:fill="auto"/>
          </w:tcPr>
          <w:p w14:paraId="34A7EE47" w14:textId="7C464497" w:rsidR="00067968" w:rsidRPr="00A90AB7" w:rsidRDefault="00067968" w:rsidP="00067968">
            <w:pPr>
              <w:tabs>
                <w:tab w:val="left" w:pos="540"/>
              </w:tabs>
              <w:spacing w:before="12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20.98%</w:t>
            </w:r>
          </w:p>
        </w:tc>
        <w:tc>
          <w:tcPr>
            <w:tcW w:w="770" w:type="pct"/>
            <w:shd w:val="clear" w:color="auto" w:fill="auto"/>
          </w:tcPr>
          <w:p w14:paraId="296CFA3A" w14:textId="7EB6AC91" w:rsidR="00067968" w:rsidRPr="00A90AB7" w:rsidRDefault="00067968" w:rsidP="00067968">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067968" w:rsidRPr="00A90AB7" w:rsidRDefault="00067968" w:rsidP="00067968">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283DC61F"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Chú thích:</w:t>
      </w:r>
    </w:p>
    <w:p w14:paraId="64E66934"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 N/A</w:t>
      </w:r>
      <w:r>
        <w:rPr>
          <w:rFonts w:ascii="Times New Roman" w:hAnsi="Times New Roman"/>
          <w:i/>
          <w:sz w:val="24"/>
          <w:szCs w:val="24"/>
          <w:vertAlign w:val="superscript"/>
          <w:lang w:val="nl-NL"/>
        </w:rPr>
        <w:t>(1)</w:t>
      </w:r>
      <w:r>
        <w:rPr>
          <w:rFonts w:ascii="Times New Roman" w:hAnsi="Times New Roman"/>
          <w:i/>
          <w:sz w:val="24"/>
          <w:szCs w:val="24"/>
          <w:lang w:val="nl-NL"/>
        </w:rPr>
        <w:t>: Quỹ mới thành lập và đi vào hoạt động từ ngày 03 tháng 01 năm 2019, chỉ tiêu không đủ dữ liệu để tính toán.</w:t>
      </w:r>
    </w:p>
    <w:p w14:paraId="765ED6D7"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 N/A</w:t>
      </w:r>
      <w:r>
        <w:rPr>
          <w:rFonts w:ascii="Times New Roman" w:hAnsi="Times New Roman"/>
          <w:i/>
          <w:sz w:val="24"/>
          <w:szCs w:val="24"/>
          <w:vertAlign w:val="superscript"/>
          <w:lang w:val="nl-NL"/>
        </w:rPr>
        <w:t>(2)</w:t>
      </w:r>
      <w:r>
        <w:rPr>
          <w:rFonts w:ascii="Times New Roman" w:hAnsi="Times New Roman"/>
          <w:i/>
          <w:sz w:val="24"/>
          <w:szCs w:val="24"/>
          <w:lang w:val="nl-NL"/>
        </w:rPr>
        <w:t>: Chứng chỉ Quỹ của quỹ không được niêm yết trên thị trường chứng khoán.</w:t>
      </w:r>
    </w:p>
    <w:p w14:paraId="2F64E5FA"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 N/A</w:t>
      </w:r>
      <w:r>
        <w:rPr>
          <w:rFonts w:ascii="Times New Roman" w:hAnsi="Times New Roman"/>
          <w:i/>
          <w:sz w:val="24"/>
          <w:szCs w:val="24"/>
          <w:vertAlign w:val="superscript"/>
          <w:lang w:val="nl-NL"/>
        </w:rPr>
        <w:t>(3)</w:t>
      </w:r>
      <w:r>
        <w:rPr>
          <w:rFonts w:ascii="Times New Roman" w:hAnsi="Times New Roman"/>
          <w:i/>
          <w:sz w:val="24"/>
          <w:szCs w:val="24"/>
          <w:lang w:val="nl-NL"/>
        </w:rPr>
        <w:t>: Quỹ chưa thực hiện phân phối lợi nhuận.</w:t>
      </w:r>
    </w:p>
    <w:p w14:paraId="4CD762A3"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 N/A</w:t>
      </w:r>
      <w:r>
        <w:rPr>
          <w:rFonts w:ascii="Times New Roman" w:hAnsi="Times New Roman"/>
          <w:i/>
          <w:sz w:val="24"/>
          <w:szCs w:val="24"/>
          <w:vertAlign w:val="superscript"/>
          <w:lang w:val="nl-NL"/>
        </w:rPr>
        <w:t>(4)</w:t>
      </w:r>
      <w:r>
        <w:rPr>
          <w:rFonts w:ascii="Times New Roman" w:hAnsi="Times New Roman"/>
          <w:i/>
          <w:sz w:val="24"/>
          <w:szCs w:val="24"/>
          <w:lang w:val="nl-NL"/>
        </w:rPr>
        <w:t>: Quỹ không áp dụng chỉ số tham chiếu.</w:t>
      </w:r>
    </w:p>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7DEFF79B"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B7729E">
        <w:rPr>
          <w:rFonts w:ascii="Times New Roman" w:hAnsi="Times New Roman"/>
          <w:b/>
          <w:sz w:val="24"/>
          <w:szCs w:val="24"/>
          <w:lang w:val="nl-NL"/>
        </w:rPr>
        <w:t>III. Mô tả thị trường trong kỳ:</w:t>
      </w:r>
    </w:p>
    <w:p w14:paraId="508623A8" w14:textId="77777777" w:rsidR="005146DD" w:rsidRPr="006E2436" w:rsidRDefault="00CC0FF9" w:rsidP="005146DD">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sz w:val="24"/>
          <w:szCs w:val="24"/>
        </w:rPr>
        <w:tab/>
      </w:r>
      <w:bookmarkStart w:id="9" w:name="_Hlk92727875"/>
      <w:proofErr w:type="spellStart"/>
      <w:r w:rsidR="005146DD" w:rsidRPr="006E2436">
        <w:rPr>
          <w:rFonts w:ascii="Times New Roman" w:hAnsi="Times New Roman"/>
          <w:sz w:val="24"/>
          <w:szCs w:val="24"/>
        </w:rPr>
        <w:t>Nền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kinh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tế</w:t>
      </w:r>
      <w:proofErr w:type="spellEnd"/>
      <w:r w:rsidR="005146DD" w:rsidRPr="006E2436">
        <w:rPr>
          <w:rFonts w:ascii="Times New Roman" w:hAnsi="Times New Roman"/>
          <w:sz w:val="24"/>
          <w:szCs w:val="24"/>
        </w:rPr>
        <w:t xml:space="preserve"> - </w:t>
      </w:r>
      <w:proofErr w:type="spellStart"/>
      <w:r w:rsidR="005146DD" w:rsidRPr="006E2436">
        <w:rPr>
          <w:rFonts w:ascii="Times New Roman" w:hAnsi="Times New Roman"/>
          <w:sz w:val="24"/>
          <w:szCs w:val="24"/>
        </w:rPr>
        <w:t>xã</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hội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trong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Quý</w:t>
      </w:r>
      <w:proofErr w:type="spellEnd"/>
      <w:r w:rsidR="005146DD" w:rsidRPr="006E2436">
        <w:rPr>
          <w:rFonts w:ascii="Times New Roman" w:hAnsi="Times New Roman"/>
          <w:sz w:val="24"/>
          <w:szCs w:val="24"/>
        </w:rPr>
        <w:t xml:space="preserve"> </w:t>
      </w:r>
      <w:r w:rsidR="005146DD">
        <w:rPr>
          <w:rFonts w:ascii="Times New Roman" w:hAnsi="Times New Roman"/>
          <w:sz w:val="24"/>
          <w:szCs w:val="24"/>
        </w:rPr>
        <w:t>4</w:t>
      </w:r>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năm</w:t>
      </w:r>
      <w:proofErr w:type="spellEnd"/>
      <w:r w:rsidR="005146DD" w:rsidRPr="006E2436">
        <w:rPr>
          <w:rFonts w:ascii="Times New Roman" w:hAnsi="Times New Roman"/>
          <w:sz w:val="24"/>
          <w:szCs w:val="24"/>
        </w:rPr>
        <w:t xml:space="preserve"> 2021 </w:t>
      </w:r>
      <w:proofErr w:type="spellStart"/>
      <w:r w:rsidR="005146DD">
        <w:rPr>
          <w:rFonts w:ascii="Times New Roman" w:hAnsi="Times New Roman"/>
          <w:sz w:val="24"/>
          <w:szCs w:val="24"/>
        </w:rPr>
        <w:t>được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tái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khởi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động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dần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sau</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thời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gian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quý</w:t>
      </w:r>
      <w:proofErr w:type="spellEnd"/>
      <w:r w:rsidR="005146DD">
        <w:rPr>
          <w:rFonts w:ascii="Times New Roman" w:hAnsi="Times New Roman"/>
          <w:sz w:val="24"/>
          <w:szCs w:val="24"/>
        </w:rPr>
        <w:t xml:space="preserve"> 3 </w:t>
      </w:r>
      <w:proofErr w:type="spellStart"/>
      <w:r w:rsidR="005146DD">
        <w:rPr>
          <w:rFonts w:ascii="Times New Roman" w:hAnsi="Times New Roman"/>
          <w:sz w:val="24"/>
          <w:szCs w:val="24"/>
        </w:rPr>
        <w:t>gần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như</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đóng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cửa</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bởi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dịch</w:t>
      </w:r>
      <w:proofErr w:type="spellEnd"/>
      <w:r w:rsidR="005146DD">
        <w:rPr>
          <w:rFonts w:ascii="Times New Roman" w:hAnsi="Times New Roman"/>
          <w:sz w:val="24"/>
          <w:szCs w:val="24"/>
        </w:rPr>
        <w:t xml:space="preserve"> Covid-19, </w:t>
      </w:r>
      <w:proofErr w:type="spellStart"/>
      <w:r w:rsidR="005146DD" w:rsidRPr="006E2436">
        <w:rPr>
          <w:rFonts w:ascii="Times New Roman" w:hAnsi="Times New Roman"/>
          <w:sz w:val="24"/>
          <w:szCs w:val="24"/>
        </w:rPr>
        <w:t>các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hoạt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động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sản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xuất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kinh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doanh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tại</w:t>
      </w:r>
      <w:proofErr w:type="spellEnd"/>
      <w:r w:rsidR="005146DD" w:rsidRPr="006E2436">
        <w:rPr>
          <w:rFonts w:ascii="Times New Roman" w:hAnsi="Times New Roman"/>
          <w:sz w:val="24"/>
          <w:szCs w:val="24"/>
        </w:rPr>
        <w:t xml:space="preserve"> </w:t>
      </w:r>
      <w:proofErr w:type="spellStart"/>
      <w:r w:rsidR="005146DD">
        <w:rPr>
          <w:rFonts w:ascii="Times New Roman" w:hAnsi="Times New Roman"/>
          <w:sz w:val="24"/>
          <w:szCs w:val="24"/>
        </w:rPr>
        <w:t>các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tỉnh</w:t>
      </w:r>
      <w:proofErr w:type="spellEnd"/>
      <w:r w:rsidR="005146DD" w:rsidRPr="006E2436">
        <w:rPr>
          <w:rFonts w:ascii="Times New Roman" w:hAnsi="Times New Roman"/>
          <w:sz w:val="24"/>
          <w:szCs w:val="24"/>
        </w:rPr>
        <w:t xml:space="preserve"> </w:t>
      </w:r>
      <w:proofErr w:type="spellStart"/>
      <w:r w:rsidR="005146DD">
        <w:rPr>
          <w:rFonts w:ascii="Times New Roman" w:hAnsi="Times New Roman"/>
          <w:sz w:val="24"/>
          <w:szCs w:val="24"/>
        </w:rPr>
        <w:t>nằm</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trong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vùng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kinh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tế</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trọng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điểm</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phía</w:t>
      </w:r>
      <w:proofErr w:type="spellEnd"/>
      <w:r w:rsidR="005146DD">
        <w:rPr>
          <w:rFonts w:ascii="Times New Roman" w:hAnsi="Times New Roman"/>
          <w:sz w:val="24"/>
          <w:szCs w:val="24"/>
        </w:rPr>
        <w:t xml:space="preserve"> </w:t>
      </w:r>
      <w:r w:rsidR="005146DD" w:rsidRPr="006E2436">
        <w:rPr>
          <w:rFonts w:ascii="Times New Roman" w:hAnsi="Times New Roman"/>
          <w:sz w:val="24"/>
          <w:szCs w:val="24"/>
        </w:rPr>
        <w:t xml:space="preserve">Nam </w:t>
      </w:r>
      <w:proofErr w:type="spellStart"/>
      <w:r w:rsidR="005146DD" w:rsidRPr="006E2436">
        <w:rPr>
          <w:rFonts w:ascii="Times New Roman" w:hAnsi="Times New Roman"/>
          <w:sz w:val="24"/>
          <w:szCs w:val="24"/>
        </w:rPr>
        <w:t>như</w:t>
      </w:r>
      <w:proofErr w:type="spellEnd"/>
      <w:r w:rsidR="005146DD" w:rsidRPr="006E2436">
        <w:rPr>
          <w:rFonts w:ascii="Times New Roman" w:hAnsi="Times New Roman"/>
          <w:sz w:val="24"/>
          <w:szCs w:val="24"/>
        </w:rPr>
        <w:t xml:space="preserve"> TP.</w:t>
      </w:r>
      <w:r w:rsidR="005146DD">
        <w:rPr>
          <w:rFonts w:ascii="Times New Roman" w:hAnsi="Times New Roman"/>
          <w:sz w:val="24"/>
          <w:szCs w:val="24"/>
        </w:rPr>
        <w:t xml:space="preserve"> </w:t>
      </w:r>
      <w:r w:rsidR="005146DD" w:rsidRPr="006E2436">
        <w:rPr>
          <w:rFonts w:ascii="Times New Roman" w:hAnsi="Times New Roman"/>
          <w:sz w:val="24"/>
          <w:szCs w:val="24"/>
        </w:rPr>
        <w:t xml:space="preserve">HCM, </w:t>
      </w:r>
      <w:proofErr w:type="spellStart"/>
      <w:r w:rsidR="005146DD" w:rsidRPr="006E2436">
        <w:rPr>
          <w:rFonts w:ascii="Times New Roman" w:hAnsi="Times New Roman"/>
          <w:sz w:val="24"/>
          <w:szCs w:val="24"/>
        </w:rPr>
        <w:t>Bình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Dương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Đồng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Nai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diễn</w:t>
      </w:r>
      <w:proofErr w:type="spellEnd"/>
      <w:r w:rsidR="005146DD">
        <w:rPr>
          <w:rFonts w:ascii="Times New Roman" w:hAnsi="Times New Roman"/>
          <w:sz w:val="24"/>
          <w:szCs w:val="24"/>
        </w:rPr>
        <w:t xml:space="preserve"> ra </w:t>
      </w:r>
      <w:proofErr w:type="spellStart"/>
      <w:r w:rsidR="005146DD">
        <w:rPr>
          <w:rFonts w:ascii="Times New Roman" w:hAnsi="Times New Roman"/>
          <w:sz w:val="24"/>
          <w:szCs w:val="24"/>
        </w:rPr>
        <w:t>với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các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biện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pháp</w:t>
      </w:r>
      <w:proofErr w:type="spellEnd"/>
      <w:r w:rsidR="005146DD">
        <w:rPr>
          <w:rFonts w:ascii="Times New Roman" w:hAnsi="Times New Roman"/>
          <w:sz w:val="24"/>
          <w:szCs w:val="24"/>
        </w:rPr>
        <w:t xml:space="preserve"> </w:t>
      </w:r>
      <w:proofErr w:type="spellStart"/>
      <w:r w:rsidR="005146DD" w:rsidRPr="006E2436">
        <w:rPr>
          <w:rFonts w:ascii="Times New Roman" w:hAnsi="Times New Roman"/>
          <w:sz w:val="24"/>
          <w:szCs w:val="24"/>
        </w:rPr>
        <w:t>phòng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dịch</w:t>
      </w:r>
      <w:proofErr w:type="spellEnd"/>
      <w:r w:rsidR="005146DD" w:rsidRPr="006E2436">
        <w:rPr>
          <w:rFonts w:ascii="Times New Roman" w:hAnsi="Times New Roman"/>
          <w:sz w:val="24"/>
          <w:szCs w:val="24"/>
        </w:rPr>
        <w:t xml:space="preserve"> </w:t>
      </w:r>
      <w:proofErr w:type="spellStart"/>
      <w:r w:rsidR="005146DD">
        <w:rPr>
          <w:rFonts w:ascii="Times New Roman" w:hAnsi="Times New Roman"/>
          <w:sz w:val="24"/>
          <w:szCs w:val="24"/>
        </w:rPr>
        <w:t>dần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được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nới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lỏng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Chiến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dịch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tiêm</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chủng</w:t>
      </w:r>
      <w:proofErr w:type="spellEnd"/>
      <w:r w:rsidR="005146DD" w:rsidRPr="006E2436">
        <w:rPr>
          <w:rFonts w:ascii="Times New Roman" w:hAnsi="Times New Roman"/>
          <w:sz w:val="24"/>
          <w:szCs w:val="24"/>
        </w:rPr>
        <w:t xml:space="preserve"> Covid 19 </w:t>
      </w:r>
      <w:proofErr w:type="spellStart"/>
      <w:r w:rsidR="005146DD" w:rsidRPr="006E2436">
        <w:rPr>
          <w:rFonts w:ascii="Times New Roman" w:hAnsi="Times New Roman"/>
          <w:sz w:val="24"/>
          <w:szCs w:val="24"/>
        </w:rPr>
        <w:t>được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triển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khai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từ</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cuối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quý</w:t>
      </w:r>
      <w:proofErr w:type="spellEnd"/>
      <w:r w:rsidR="005146DD" w:rsidRPr="006E2436">
        <w:rPr>
          <w:rFonts w:ascii="Times New Roman" w:hAnsi="Times New Roman"/>
          <w:sz w:val="24"/>
          <w:szCs w:val="24"/>
        </w:rPr>
        <w:t xml:space="preserve"> 2/2021 </w:t>
      </w:r>
      <w:proofErr w:type="spellStart"/>
      <w:r w:rsidR="005146DD" w:rsidRPr="006E2436">
        <w:rPr>
          <w:rFonts w:ascii="Times New Roman" w:hAnsi="Times New Roman"/>
          <w:sz w:val="24"/>
          <w:szCs w:val="24"/>
        </w:rPr>
        <w:t>với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mục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tiêu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nhanh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chóng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đẩy</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lùi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dịch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bệnh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trên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quy</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mô</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toàn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quốc</w:t>
      </w:r>
      <w:proofErr w:type="spellEnd"/>
      <w:r w:rsidR="005146DD" w:rsidRPr="006E2436">
        <w:rPr>
          <w:rFonts w:ascii="Times New Roman" w:hAnsi="Times New Roman"/>
          <w:sz w:val="24"/>
          <w:szCs w:val="24"/>
        </w:rPr>
        <w:t xml:space="preserve">, </w:t>
      </w:r>
      <w:proofErr w:type="spellStart"/>
      <w:r w:rsidR="005146DD">
        <w:rPr>
          <w:rFonts w:ascii="Times New Roman" w:hAnsi="Times New Roman"/>
          <w:sz w:val="24"/>
          <w:szCs w:val="24"/>
        </w:rPr>
        <w:t>Việt</w:t>
      </w:r>
      <w:proofErr w:type="spellEnd"/>
      <w:r w:rsidR="005146DD">
        <w:rPr>
          <w:rFonts w:ascii="Times New Roman" w:hAnsi="Times New Roman"/>
          <w:sz w:val="24"/>
          <w:szCs w:val="24"/>
        </w:rPr>
        <w:t xml:space="preserve"> Nam </w:t>
      </w:r>
      <w:proofErr w:type="spellStart"/>
      <w:r w:rsidR="005146DD">
        <w:rPr>
          <w:rFonts w:ascii="Times New Roman" w:hAnsi="Times New Roman"/>
          <w:sz w:val="24"/>
          <w:szCs w:val="24"/>
        </w:rPr>
        <w:t>được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đánh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giá</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là</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thành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công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trong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chiến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dịch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tiêm</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chủng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là</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quốc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gia</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trước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về</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sau</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với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tỷ</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lệ</w:t>
      </w:r>
      <w:proofErr w:type="spellEnd"/>
      <w:r w:rsidR="005146DD">
        <w:rPr>
          <w:rFonts w:ascii="Times New Roman" w:hAnsi="Times New Roman"/>
          <w:sz w:val="24"/>
          <w:szCs w:val="24"/>
        </w:rPr>
        <w:t xml:space="preserve"> bao </w:t>
      </w:r>
      <w:proofErr w:type="spellStart"/>
      <w:r w:rsidR="005146DD">
        <w:rPr>
          <w:rFonts w:ascii="Times New Roman" w:hAnsi="Times New Roman"/>
          <w:sz w:val="24"/>
          <w:szCs w:val="24"/>
        </w:rPr>
        <w:t>phủ</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ít</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nhất</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một</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liều</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vắc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xin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là</w:t>
      </w:r>
      <w:proofErr w:type="spellEnd"/>
      <w:r w:rsidR="005146DD">
        <w:rPr>
          <w:rFonts w:ascii="Times New Roman" w:hAnsi="Times New Roman"/>
          <w:sz w:val="24"/>
          <w:szCs w:val="24"/>
        </w:rPr>
        <w:t xml:space="preserve"> 99.7% </w:t>
      </w:r>
      <w:proofErr w:type="spellStart"/>
      <w:r w:rsidR="005146DD">
        <w:rPr>
          <w:rFonts w:ascii="Times New Roman" w:hAnsi="Times New Roman"/>
          <w:sz w:val="24"/>
          <w:szCs w:val="24"/>
        </w:rPr>
        <w:t>dân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số</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từ</w:t>
      </w:r>
      <w:proofErr w:type="spellEnd"/>
      <w:r w:rsidR="005146DD">
        <w:rPr>
          <w:rFonts w:ascii="Times New Roman" w:hAnsi="Times New Roman"/>
          <w:sz w:val="24"/>
          <w:szCs w:val="24"/>
        </w:rPr>
        <w:t xml:space="preserve"> 18 </w:t>
      </w:r>
      <w:proofErr w:type="spellStart"/>
      <w:r w:rsidR="005146DD">
        <w:rPr>
          <w:rFonts w:ascii="Times New Roman" w:hAnsi="Times New Roman"/>
          <w:sz w:val="24"/>
          <w:szCs w:val="24"/>
        </w:rPr>
        <w:t>tuổi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trở</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lên</w:t>
      </w:r>
      <w:proofErr w:type="spellEnd"/>
      <w:r w:rsidR="005146DD" w:rsidRPr="006E2436">
        <w:rPr>
          <w:rFonts w:ascii="Times New Roman" w:hAnsi="Times New Roman"/>
          <w:sz w:val="24"/>
          <w:szCs w:val="24"/>
        </w:rPr>
        <w:t>.</w:t>
      </w:r>
      <w:r w:rsidR="005146DD">
        <w:rPr>
          <w:rFonts w:ascii="Times New Roman" w:hAnsi="Times New Roman"/>
          <w:sz w:val="24"/>
          <w:szCs w:val="24"/>
        </w:rPr>
        <w:t xml:space="preserve"> </w:t>
      </w:r>
      <w:proofErr w:type="spellStart"/>
      <w:r w:rsidR="005146DD">
        <w:rPr>
          <w:rFonts w:ascii="Times New Roman" w:hAnsi="Times New Roman"/>
          <w:sz w:val="24"/>
          <w:szCs w:val="24"/>
        </w:rPr>
        <w:t>Các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địa</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phương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như</w:t>
      </w:r>
      <w:proofErr w:type="spellEnd"/>
      <w:r w:rsidR="005146DD">
        <w:rPr>
          <w:rFonts w:ascii="Times New Roman" w:hAnsi="Times New Roman"/>
          <w:sz w:val="24"/>
          <w:szCs w:val="24"/>
        </w:rPr>
        <w:t xml:space="preserve"> TP. HCM, </w:t>
      </w:r>
      <w:proofErr w:type="spellStart"/>
      <w:r w:rsidR="005146DD">
        <w:rPr>
          <w:rFonts w:ascii="Times New Roman" w:hAnsi="Times New Roman"/>
          <w:sz w:val="24"/>
          <w:szCs w:val="24"/>
        </w:rPr>
        <w:t>Đồng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Nai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Bình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Dương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còn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tiếp</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tục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triển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khai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tiêm</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mũi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tăng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cường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mũi</w:t>
      </w:r>
      <w:proofErr w:type="spellEnd"/>
      <w:r w:rsidR="005146DD">
        <w:rPr>
          <w:rFonts w:ascii="Times New Roman" w:hAnsi="Times New Roman"/>
          <w:sz w:val="24"/>
          <w:szCs w:val="24"/>
        </w:rPr>
        <w:t xml:space="preserve"> 3) </w:t>
      </w:r>
      <w:proofErr w:type="spellStart"/>
      <w:r w:rsidR="005146DD">
        <w:rPr>
          <w:rFonts w:ascii="Times New Roman" w:hAnsi="Times New Roman"/>
          <w:sz w:val="24"/>
          <w:szCs w:val="24"/>
        </w:rPr>
        <w:t>vào</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đầu</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năm</w:t>
      </w:r>
      <w:proofErr w:type="spellEnd"/>
      <w:r w:rsidR="005146DD">
        <w:rPr>
          <w:rFonts w:ascii="Times New Roman" w:hAnsi="Times New Roman"/>
          <w:sz w:val="24"/>
          <w:szCs w:val="24"/>
        </w:rPr>
        <w:t xml:space="preserve"> 2022. </w:t>
      </w:r>
      <w:proofErr w:type="spellStart"/>
      <w:r w:rsidR="005146DD">
        <w:rPr>
          <w:rFonts w:ascii="Times New Roman" w:hAnsi="Times New Roman"/>
          <w:sz w:val="24"/>
          <w:szCs w:val="24"/>
        </w:rPr>
        <w:t>Các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dịch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vụ</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vận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tải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bán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lẻ</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dịch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vụ</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ăn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uống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gần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như</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được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mở</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cửa</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hoàn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toàn</w:t>
      </w:r>
      <w:proofErr w:type="spellEnd"/>
      <w:r w:rsidR="005146DD">
        <w:rPr>
          <w:rFonts w:ascii="Times New Roman" w:hAnsi="Times New Roman"/>
          <w:sz w:val="24"/>
          <w:szCs w:val="24"/>
        </w:rPr>
        <w:t xml:space="preserve">. Trong </w:t>
      </w:r>
      <w:proofErr w:type="spellStart"/>
      <w:r w:rsidR="005146DD">
        <w:rPr>
          <w:rFonts w:ascii="Times New Roman" w:hAnsi="Times New Roman"/>
          <w:sz w:val="24"/>
          <w:szCs w:val="24"/>
        </w:rPr>
        <w:t>khi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đó</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w:t>
      </w:r>
      <w:r w:rsidR="005146DD" w:rsidRPr="006E2436">
        <w:rPr>
          <w:rFonts w:ascii="Times New Roman" w:hAnsi="Times New Roman"/>
          <w:sz w:val="24"/>
          <w:szCs w:val="24"/>
        </w:rPr>
        <w:t>ác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nền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kinh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tế</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lớn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trên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thế</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giới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như</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Mỹ</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Nhật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Bản</w:t>
      </w:r>
      <w:proofErr w:type="spellEnd"/>
      <w:r w:rsidR="005146DD" w:rsidRPr="006E2436">
        <w:rPr>
          <w:rFonts w:ascii="Times New Roman" w:hAnsi="Times New Roman"/>
          <w:sz w:val="24"/>
          <w:szCs w:val="24"/>
        </w:rPr>
        <w:t xml:space="preserve">, EU </w:t>
      </w:r>
      <w:proofErr w:type="spellStart"/>
      <w:r w:rsidR="005146DD" w:rsidRPr="006E2436">
        <w:rPr>
          <w:rFonts w:ascii="Times New Roman" w:hAnsi="Times New Roman"/>
          <w:sz w:val="24"/>
          <w:szCs w:val="24"/>
        </w:rPr>
        <w:t>đều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gần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như</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mở</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cửa</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lại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hoàn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toàn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w:t>
      </w:r>
      <w:r w:rsidR="005146DD">
        <w:rPr>
          <w:rFonts w:ascii="Times New Roman" w:hAnsi="Times New Roman"/>
          <w:sz w:val="24"/>
          <w:szCs w:val="24"/>
        </w:rPr>
        <w:t>ừ</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Quý</w:t>
      </w:r>
      <w:proofErr w:type="spellEnd"/>
      <w:r w:rsidR="005146DD" w:rsidRPr="006E2436">
        <w:rPr>
          <w:rFonts w:ascii="Times New Roman" w:hAnsi="Times New Roman"/>
          <w:sz w:val="24"/>
          <w:szCs w:val="24"/>
        </w:rPr>
        <w:t xml:space="preserve"> 3, </w:t>
      </w:r>
      <w:proofErr w:type="spellStart"/>
      <w:r w:rsidR="005146DD">
        <w:rPr>
          <w:rFonts w:ascii="Times New Roman" w:hAnsi="Times New Roman"/>
          <w:sz w:val="24"/>
          <w:szCs w:val="24"/>
        </w:rPr>
        <w:t>ngoại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trừ</w:t>
      </w:r>
      <w:proofErr w:type="spellEnd"/>
      <w:r w:rsidR="005146DD">
        <w:rPr>
          <w:rFonts w:ascii="Times New Roman" w:hAnsi="Times New Roman"/>
          <w:sz w:val="24"/>
          <w:szCs w:val="24"/>
        </w:rPr>
        <w:t xml:space="preserve"> Trung </w:t>
      </w:r>
      <w:proofErr w:type="spellStart"/>
      <w:r w:rsidR="005146DD">
        <w:rPr>
          <w:rFonts w:ascii="Times New Roman" w:hAnsi="Times New Roman"/>
          <w:sz w:val="24"/>
          <w:szCs w:val="24"/>
        </w:rPr>
        <w:t>Quốc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tiếp</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tục</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duy</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trì</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chính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sách</w:t>
      </w:r>
      <w:proofErr w:type="spellEnd"/>
      <w:r w:rsidR="005146DD">
        <w:rPr>
          <w:rFonts w:ascii="Times New Roman" w:hAnsi="Times New Roman"/>
          <w:sz w:val="24"/>
          <w:szCs w:val="24"/>
        </w:rPr>
        <w:t xml:space="preserve"> Zero Covid </w:t>
      </w:r>
      <w:proofErr w:type="spellStart"/>
      <w:r w:rsidR="005146DD">
        <w:rPr>
          <w:rFonts w:ascii="Times New Roman" w:hAnsi="Times New Roman"/>
          <w:sz w:val="24"/>
          <w:szCs w:val="24"/>
        </w:rPr>
        <w:t>của</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mình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và</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tại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nhiều</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địa</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phương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vẫn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còn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tình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trạng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phong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lastRenderedPageBreak/>
        <w:t>tỏa</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triệt</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để</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Ngoài</w:t>
      </w:r>
      <w:proofErr w:type="spellEnd"/>
      <w:r w:rsidR="005146DD">
        <w:rPr>
          <w:rFonts w:ascii="Times New Roman" w:hAnsi="Times New Roman"/>
          <w:sz w:val="24"/>
          <w:szCs w:val="24"/>
        </w:rPr>
        <w:t xml:space="preserve"> ra</w:t>
      </w:r>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các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khó</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khăn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và</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rủi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ro</w:t>
      </w:r>
      <w:proofErr w:type="spellEnd"/>
      <w:r w:rsidR="005146DD" w:rsidRPr="006E2436">
        <w:rPr>
          <w:rFonts w:ascii="Times New Roman" w:hAnsi="Times New Roman"/>
          <w:sz w:val="24"/>
          <w:szCs w:val="24"/>
        </w:rPr>
        <w:t xml:space="preserve"> </w:t>
      </w:r>
      <w:proofErr w:type="spellStart"/>
      <w:r w:rsidR="005146DD">
        <w:rPr>
          <w:rFonts w:ascii="Times New Roman" w:hAnsi="Times New Roman"/>
          <w:sz w:val="24"/>
          <w:szCs w:val="24"/>
        </w:rPr>
        <w:t>đối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với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kinh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tế</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toàn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cầu</w:t>
      </w:r>
      <w:proofErr w:type="spellEnd"/>
      <w:r w:rsidR="005146DD">
        <w:rPr>
          <w:rFonts w:ascii="Times New Roman" w:hAnsi="Times New Roman"/>
          <w:sz w:val="24"/>
          <w:szCs w:val="24"/>
        </w:rPr>
        <w:t xml:space="preserve"> </w:t>
      </w:r>
      <w:proofErr w:type="spellStart"/>
      <w:r w:rsidR="005146DD" w:rsidRPr="006E2436">
        <w:rPr>
          <w:rFonts w:ascii="Times New Roman" w:hAnsi="Times New Roman"/>
          <w:sz w:val="24"/>
          <w:szCs w:val="24"/>
        </w:rPr>
        <w:t>vẫn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còn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rất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lớn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và</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có</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thể</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kéo</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dài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trong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các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năm</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sau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Thương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mại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toàn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cầu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bị</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tác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động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tiêu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cực</w:t>
      </w:r>
      <w:proofErr w:type="spellEnd"/>
      <w:r w:rsidR="005146DD" w:rsidRPr="006E2436">
        <w:rPr>
          <w:rFonts w:ascii="Times New Roman" w:hAnsi="Times New Roman"/>
          <w:sz w:val="24"/>
          <w:szCs w:val="24"/>
        </w:rPr>
        <w:t xml:space="preserve"> do </w:t>
      </w:r>
      <w:proofErr w:type="spellStart"/>
      <w:r w:rsidR="005146DD" w:rsidRPr="006E2436">
        <w:rPr>
          <w:rFonts w:ascii="Times New Roman" w:hAnsi="Times New Roman"/>
          <w:sz w:val="24"/>
          <w:szCs w:val="24"/>
        </w:rPr>
        <w:t>đứt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gãy</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chuỗi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cung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ứng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tình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trạng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thiếu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hụt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hàng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hóa</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quan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trọng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như</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ch</w:t>
      </w:r>
      <w:r w:rsidR="005146DD">
        <w:rPr>
          <w:rFonts w:ascii="Times New Roman" w:hAnsi="Times New Roman"/>
          <w:sz w:val="24"/>
          <w:szCs w:val="24"/>
        </w:rPr>
        <w:t>í</w:t>
      </w:r>
      <w:r w:rsidR="005146DD" w:rsidRPr="006E2436">
        <w:rPr>
          <w:rFonts w:ascii="Times New Roman" w:hAnsi="Times New Roman"/>
          <w:sz w:val="24"/>
          <w:szCs w:val="24"/>
        </w:rPr>
        <w:t>p</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điện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w:t>
      </w:r>
      <w:r w:rsidR="005146DD">
        <w:rPr>
          <w:rFonts w:ascii="Times New Roman" w:hAnsi="Times New Roman"/>
          <w:sz w:val="24"/>
          <w:szCs w:val="24"/>
        </w:rPr>
        <w:t>ử</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khí</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đốt</w:t>
      </w:r>
      <w:proofErr w:type="spellEnd"/>
      <w:r w:rsidR="005146DD" w:rsidRPr="006E2436">
        <w:rPr>
          <w:rFonts w:ascii="Times New Roman" w:hAnsi="Times New Roman"/>
          <w:sz w:val="24"/>
          <w:szCs w:val="24"/>
        </w:rPr>
        <w:t xml:space="preserve">, </w:t>
      </w:r>
      <w:proofErr w:type="spellStart"/>
      <w:r w:rsidR="005146DD">
        <w:rPr>
          <w:rFonts w:ascii="Times New Roman" w:hAnsi="Times New Roman"/>
          <w:sz w:val="24"/>
          <w:szCs w:val="24"/>
        </w:rPr>
        <w:t>dầu</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mỏ</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góp</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phần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đẩy</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giá</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cả</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hàng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hóa</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thế</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giới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tăng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mạnh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trong</w:t>
      </w:r>
      <w:proofErr w:type="spellEnd"/>
      <w:r w:rsidR="005146DD" w:rsidRPr="006E2436">
        <w:rPr>
          <w:rFonts w:ascii="Times New Roman" w:hAnsi="Times New Roman"/>
          <w:sz w:val="24"/>
          <w:szCs w:val="24"/>
        </w:rPr>
        <w:t xml:space="preserve"> </w:t>
      </w:r>
      <w:proofErr w:type="spellStart"/>
      <w:r w:rsidR="005146DD">
        <w:rPr>
          <w:rFonts w:ascii="Times New Roman" w:hAnsi="Times New Roman"/>
          <w:sz w:val="24"/>
          <w:szCs w:val="24"/>
        </w:rPr>
        <w:t>những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tháng</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cuối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năm</w:t>
      </w:r>
      <w:proofErr w:type="spellEnd"/>
      <w:r w:rsidR="005146DD" w:rsidRPr="006E2436">
        <w:rPr>
          <w:rFonts w:ascii="Times New Roman" w:hAnsi="Times New Roman"/>
          <w:sz w:val="24"/>
          <w:szCs w:val="24"/>
        </w:rPr>
        <w:t xml:space="preserve">. </w:t>
      </w:r>
      <w:proofErr w:type="spellStart"/>
      <w:r w:rsidR="005146DD">
        <w:rPr>
          <w:rFonts w:ascii="Times New Roman" w:hAnsi="Times New Roman"/>
          <w:sz w:val="24"/>
          <w:szCs w:val="24"/>
        </w:rPr>
        <w:t>Ngoài</w:t>
      </w:r>
      <w:proofErr w:type="spellEnd"/>
      <w:r w:rsidR="005146DD">
        <w:rPr>
          <w:rFonts w:ascii="Times New Roman" w:hAnsi="Times New Roman"/>
          <w:sz w:val="24"/>
          <w:szCs w:val="24"/>
        </w:rPr>
        <w:t xml:space="preserve"> ra </w:t>
      </w:r>
      <w:proofErr w:type="spellStart"/>
      <w:r w:rsidR="005146DD">
        <w:rPr>
          <w:rFonts w:ascii="Times New Roman" w:hAnsi="Times New Roman"/>
          <w:sz w:val="24"/>
          <w:szCs w:val="24"/>
        </w:rPr>
        <w:t>biến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chủng</w:t>
      </w:r>
      <w:proofErr w:type="spellEnd"/>
      <w:r w:rsidR="005146DD">
        <w:rPr>
          <w:rFonts w:ascii="Times New Roman" w:hAnsi="Times New Roman"/>
          <w:sz w:val="24"/>
          <w:szCs w:val="24"/>
        </w:rPr>
        <w:t xml:space="preserve"> Omicron </w:t>
      </w:r>
      <w:proofErr w:type="spellStart"/>
      <w:r w:rsidR="005146DD">
        <w:rPr>
          <w:rFonts w:ascii="Times New Roman" w:hAnsi="Times New Roman"/>
          <w:sz w:val="24"/>
          <w:szCs w:val="24"/>
        </w:rPr>
        <w:t>mới</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của</w:t>
      </w:r>
      <w:proofErr w:type="spellEnd"/>
      <w:r w:rsidR="005146DD">
        <w:rPr>
          <w:rFonts w:ascii="Times New Roman" w:hAnsi="Times New Roman"/>
          <w:sz w:val="24"/>
          <w:szCs w:val="24"/>
        </w:rPr>
        <w:t xml:space="preserve"> virus corona </w:t>
      </w:r>
      <w:proofErr w:type="spellStart"/>
      <w:r w:rsidR="005146DD">
        <w:rPr>
          <w:rFonts w:ascii="Times New Roman" w:hAnsi="Times New Roman"/>
          <w:sz w:val="24"/>
          <w:szCs w:val="24"/>
        </w:rPr>
        <w:t>rình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rập</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đe</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dọa</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kinh</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tế</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toàn</w:t>
      </w:r>
      <w:proofErr w:type="spellEnd"/>
      <w:r w:rsidR="005146DD">
        <w:rPr>
          <w:rFonts w:ascii="Times New Roman" w:hAnsi="Times New Roman"/>
          <w:sz w:val="24"/>
          <w:szCs w:val="24"/>
        </w:rPr>
        <w:t xml:space="preserve"> </w:t>
      </w:r>
      <w:proofErr w:type="spellStart"/>
      <w:r w:rsidR="005146DD">
        <w:rPr>
          <w:rFonts w:ascii="Times New Roman" w:hAnsi="Times New Roman"/>
          <w:sz w:val="24"/>
          <w:szCs w:val="24"/>
        </w:rPr>
        <w:t>cầu</w:t>
      </w:r>
      <w:proofErr w:type="spellEnd"/>
      <w:r w:rsidR="005146DD">
        <w:rPr>
          <w:rFonts w:ascii="Times New Roman" w:hAnsi="Times New Roman"/>
          <w:sz w:val="24"/>
          <w:szCs w:val="24"/>
        </w:rPr>
        <w:t xml:space="preserve">. </w:t>
      </w:r>
      <w:proofErr w:type="spellStart"/>
      <w:r w:rsidR="005146DD" w:rsidRPr="006E2436">
        <w:rPr>
          <w:rFonts w:ascii="Times New Roman" w:hAnsi="Times New Roman"/>
          <w:sz w:val="24"/>
          <w:szCs w:val="24"/>
        </w:rPr>
        <w:t>Tại</w:t>
      </w:r>
      <w:proofErr w:type="spellEnd"/>
      <w:r w:rsidR="005146DD" w:rsidRPr="006E2436">
        <w:rPr>
          <w:rFonts w:ascii="Times New Roman" w:hAnsi="Times New Roman"/>
          <w:sz w:val="24"/>
          <w:szCs w:val="24"/>
        </w:rPr>
        <w:t xml:space="preserve"> Trung </w:t>
      </w:r>
      <w:proofErr w:type="spellStart"/>
      <w:r w:rsidR="005146DD" w:rsidRPr="006E2436">
        <w:rPr>
          <w:rFonts w:ascii="Times New Roman" w:hAnsi="Times New Roman"/>
          <w:sz w:val="24"/>
          <w:szCs w:val="24"/>
        </w:rPr>
        <w:t>Quốc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khả</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năng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vỡ</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nợ</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cao</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từ</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các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tập</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đoàn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bất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động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sản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lớn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cũng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gây</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tiêu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cực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rất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lớn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đến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thị</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trường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tài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chính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quốc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tế</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trong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cuối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quý</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ngoài</w:t>
      </w:r>
      <w:proofErr w:type="spellEnd"/>
      <w:r w:rsidR="005146DD" w:rsidRPr="006E2436">
        <w:rPr>
          <w:rFonts w:ascii="Times New Roman" w:hAnsi="Times New Roman"/>
          <w:sz w:val="24"/>
          <w:szCs w:val="24"/>
        </w:rPr>
        <w:t xml:space="preserve"> ra </w:t>
      </w:r>
      <w:proofErr w:type="spellStart"/>
      <w:r w:rsidR="005146DD" w:rsidRPr="006E2436">
        <w:rPr>
          <w:rFonts w:ascii="Times New Roman" w:hAnsi="Times New Roman"/>
          <w:sz w:val="24"/>
          <w:szCs w:val="24"/>
        </w:rPr>
        <w:t>việc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thiếu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hụt</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điện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cũng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gây</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nhiều</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khó</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khăn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cho</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quốc</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gia</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này</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trong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tăng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trưởng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kinh</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tế</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trong</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thời</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gian</w:t>
      </w:r>
      <w:proofErr w:type="spellEnd"/>
      <w:r w:rsidR="005146DD" w:rsidRPr="006E2436">
        <w:rPr>
          <w:rFonts w:ascii="Times New Roman" w:hAnsi="Times New Roman"/>
          <w:sz w:val="24"/>
          <w:szCs w:val="24"/>
        </w:rPr>
        <w:t xml:space="preserve"> </w:t>
      </w:r>
      <w:proofErr w:type="spellStart"/>
      <w:r w:rsidR="005146DD" w:rsidRPr="006E2436">
        <w:rPr>
          <w:rFonts w:ascii="Times New Roman" w:hAnsi="Times New Roman"/>
          <w:sz w:val="24"/>
          <w:szCs w:val="24"/>
        </w:rPr>
        <w:t>tới</w:t>
      </w:r>
      <w:proofErr w:type="spellEnd"/>
      <w:r w:rsidR="005146DD" w:rsidRPr="006E2436">
        <w:rPr>
          <w:rFonts w:ascii="Times New Roman" w:hAnsi="Times New Roman"/>
          <w:sz w:val="24"/>
          <w:szCs w:val="24"/>
        </w:rPr>
        <w:t xml:space="preserve">. </w:t>
      </w:r>
    </w:p>
    <w:p w14:paraId="4512D6BF" w14:textId="77777777" w:rsidR="005146DD" w:rsidRPr="006E2436" w:rsidRDefault="005146DD" w:rsidP="005146DD">
      <w:pPr>
        <w:shd w:val="clear" w:color="auto" w:fill="FFFFFF"/>
        <w:tabs>
          <w:tab w:val="left" w:pos="540"/>
        </w:tabs>
        <w:spacing w:before="120" w:after="0" w:line="240" w:lineRule="auto"/>
        <w:jc w:val="both"/>
        <w:rPr>
          <w:rFonts w:ascii="Times New Roman" w:hAnsi="Times New Roman"/>
          <w:sz w:val="24"/>
          <w:szCs w:val="24"/>
        </w:rPr>
      </w:pPr>
      <w:r w:rsidRPr="006E2436">
        <w:rPr>
          <w:rFonts w:ascii="Times New Roman" w:hAnsi="Times New Roman"/>
          <w:sz w:val="24"/>
          <w:szCs w:val="24"/>
        </w:rPr>
        <w:tab/>
      </w:r>
      <w:r>
        <w:rPr>
          <w:rFonts w:ascii="Times New Roman" w:hAnsi="Times New Roman"/>
          <w:sz w:val="24"/>
          <w:szCs w:val="24"/>
        </w:rPr>
        <w:t xml:space="preserve">Trong </w:t>
      </w:r>
      <w:proofErr w:type="spellStart"/>
      <w:r>
        <w:rPr>
          <w:rFonts w:ascii="Times New Roman" w:hAnsi="Times New Roman"/>
          <w:sz w:val="24"/>
          <w:szCs w:val="24"/>
        </w:rPr>
        <w:t>bối</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vậy</w:t>
      </w:r>
      <w:proofErr w:type="spellEnd"/>
      <w:r w:rsidRPr="006E2436">
        <w:rPr>
          <w:rFonts w:ascii="Times New Roman" w:hAnsi="Times New Roman"/>
          <w:sz w:val="24"/>
          <w:szCs w:val="24"/>
        </w:rPr>
        <w:t xml:space="preserve"> GDP </w:t>
      </w:r>
      <w:proofErr w:type="spellStart"/>
      <w:r w:rsidRPr="006E2436">
        <w:rPr>
          <w:rFonts w:ascii="Times New Roman" w:hAnsi="Times New Roman"/>
          <w:sz w:val="24"/>
          <w:szCs w:val="24"/>
        </w:rPr>
        <w:t>quý</w:t>
      </w:r>
      <w:proofErr w:type="spellEnd"/>
      <w:r w:rsidRPr="006E2436">
        <w:rPr>
          <w:rFonts w:ascii="Times New Roman" w:hAnsi="Times New Roman"/>
          <w:sz w:val="24"/>
          <w:szCs w:val="24"/>
        </w:rPr>
        <w:t xml:space="preserve"> </w:t>
      </w:r>
      <w:r>
        <w:rPr>
          <w:rFonts w:ascii="Times New Roman" w:hAnsi="Times New Roman"/>
          <w:sz w:val="24"/>
          <w:szCs w:val="24"/>
        </w:rPr>
        <w:t>4</w:t>
      </w:r>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5.22</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r w:rsidRPr="006E2436">
        <w:rPr>
          <w:rFonts w:ascii="Times New Roman" w:hAnsi="Times New Roman"/>
          <w:sz w:val="24"/>
          <w:szCs w:val="24"/>
        </w:rPr>
        <w:t xml:space="preserve">2020,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w:t>
      </w:r>
      <w:r w:rsidRPr="006E2436">
        <w:rPr>
          <w:rFonts w:ascii="Times New Roman" w:hAnsi="Times New Roman"/>
          <w:sz w:val="24"/>
          <w:szCs w:val="24"/>
        </w:rPr>
        <w:t xml:space="preserve"> GDP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w:t>
      </w:r>
      <w:r>
        <w:rPr>
          <w:rFonts w:ascii="Times New Roman" w:hAnsi="Times New Roman"/>
          <w:sz w:val="24"/>
          <w:szCs w:val="24"/>
        </w:rPr>
        <w:t>2.58</w:t>
      </w:r>
      <w:r w:rsidRPr="006E2436">
        <w:rPr>
          <w:rFonts w:ascii="Times New Roman" w:hAnsi="Times New Roman"/>
          <w:sz w:val="24"/>
          <w:szCs w:val="24"/>
        </w:rPr>
        <w:t xml:space="preserve">%, </w:t>
      </w:r>
      <w:proofErr w:type="spellStart"/>
      <w:r w:rsidRPr="006E2436">
        <w:rPr>
          <w:rFonts w:ascii="Times New Roman" w:hAnsi="Times New Roman"/>
          <w:sz w:val="24"/>
          <w:szCs w:val="24"/>
        </w:rPr>
        <w:t>thấp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r>
        <w:rPr>
          <w:rFonts w:ascii="Times New Roman" w:hAnsi="Times New Roman"/>
          <w:sz w:val="24"/>
          <w:szCs w:val="24"/>
        </w:rPr>
        <w:t>3.8</w:t>
      </w:r>
      <w:r w:rsidRPr="006E2436">
        <w:rPr>
          <w:rFonts w:ascii="Times New Roman" w:hAnsi="Times New Roman"/>
          <w:sz w:val="24"/>
          <w:szCs w:val="24"/>
        </w:rPr>
        <w:t xml:space="preserve">% </w:t>
      </w:r>
      <w:r>
        <w:rPr>
          <w:rFonts w:ascii="Times New Roman" w:hAnsi="Times New Roman"/>
          <w:sz w:val="24"/>
          <w:szCs w:val="24"/>
        </w:rPr>
        <w:t xml:space="preserve">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IMF</w:t>
      </w:r>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thấp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tỏ</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rằng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động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bệnh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quý</w:t>
      </w:r>
      <w:proofErr w:type="spellEnd"/>
      <w:r w:rsidRPr="006E2436">
        <w:rPr>
          <w:rFonts w:ascii="Times New Roman" w:hAnsi="Times New Roman"/>
          <w:sz w:val="24"/>
          <w:szCs w:val="24"/>
        </w:rPr>
        <w:t xml:space="preserve"> </w:t>
      </w:r>
      <w:r>
        <w:rPr>
          <w:rFonts w:ascii="Times New Roman" w:hAnsi="Times New Roman"/>
          <w:sz w:val="24"/>
          <w:szCs w:val="24"/>
        </w:rPr>
        <w:t>4</w:t>
      </w:r>
      <w:r w:rsidRPr="006E2436">
        <w:rPr>
          <w:rFonts w:ascii="Times New Roman" w:hAnsi="Times New Roman"/>
          <w:sz w:val="24"/>
          <w:szCs w:val="24"/>
        </w:rPr>
        <w:t xml:space="preserve">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cửa</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tái</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chậm</w:t>
      </w:r>
      <w:proofErr w:type="spellEnd"/>
      <w:r w:rsidRPr="006E2436">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ngoại</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tổng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ngạch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xuất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nhập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r>
        <w:rPr>
          <w:rFonts w:ascii="Times New Roman" w:hAnsi="Times New Roman"/>
          <w:sz w:val="24"/>
          <w:szCs w:val="24"/>
        </w:rPr>
        <w:t>668.5</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22.6%</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xuất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r>
        <w:rPr>
          <w:rFonts w:ascii="Times New Roman" w:hAnsi="Times New Roman"/>
          <w:sz w:val="24"/>
          <w:szCs w:val="24"/>
        </w:rPr>
        <w:t>336.25</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19</w:t>
      </w:r>
      <w:r w:rsidRPr="006E2436">
        <w:rPr>
          <w:rFonts w:ascii="Times New Roman" w:hAnsi="Times New Roman"/>
          <w:sz w:val="24"/>
          <w:szCs w:val="24"/>
        </w:rPr>
        <w:t xml:space="preserve">%; </w:t>
      </w:r>
      <w:proofErr w:type="spellStart"/>
      <w:r w:rsidRPr="006E2436">
        <w:rPr>
          <w:rFonts w:ascii="Times New Roman" w:hAnsi="Times New Roman"/>
          <w:sz w:val="24"/>
          <w:szCs w:val="24"/>
        </w:rPr>
        <w:t>nhập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khẩu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đạt</w:t>
      </w:r>
      <w:proofErr w:type="spellEnd"/>
      <w:r>
        <w:rPr>
          <w:rFonts w:ascii="Times New Roman" w:hAnsi="Times New Roman"/>
          <w:sz w:val="24"/>
          <w:szCs w:val="24"/>
        </w:rPr>
        <w:t xml:space="preserve"> 332.25</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26.5</w:t>
      </w:r>
      <w:r w:rsidRPr="006E2436">
        <w:rPr>
          <w:rFonts w:ascii="Times New Roman" w:hAnsi="Times New Roman"/>
          <w:sz w:val="24"/>
          <w:szCs w:val="24"/>
        </w:rPr>
        <w:t xml:space="preserve">%. </w:t>
      </w:r>
      <w:proofErr w:type="spellStart"/>
      <w:r w:rsidRPr="006E2436">
        <w:rPr>
          <w:rFonts w:ascii="Times New Roman" w:hAnsi="Times New Roman"/>
          <w:sz w:val="24"/>
          <w:szCs w:val="24"/>
        </w:rPr>
        <w:t>Cán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thương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mại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tính</w:t>
      </w:r>
      <w:proofErr w:type="spellEnd"/>
      <w:r w:rsidRPr="006E2436">
        <w:rPr>
          <w:rFonts w:ascii="Times New Roman" w:hAnsi="Times New Roman"/>
          <w:sz w:val="24"/>
          <w:szCs w:val="24"/>
        </w:rPr>
        <w:t xml:space="preserve"> </w:t>
      </w:r>
      <w:proofErr w:type="spellStart"/>
      <w:r>
        <w:rPr>
          <w:rFonts w:ascii="Times New Roman" w:hAnsi="Times New Roman"/>
          <w:sz w:val="24"/>
          <w:szCs w:val="24"/>
        </w:rPr>
        <w:t>xuất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siêu</w:t>
      </w:r>
      <w:proofErr w:type="spellEnd"/>
      <w:r w:rsidRPr="006E2436">
        <w:rPr>
          <w:rFonts w:ascii="Times New Roman" w:hAnsi="Times New Roman"/>
          <w:sz w:val="24"/>
          <w:szCs w:val="24"/>
        </w:rPr>
        <w:t xml:space="preserve"> </w:t>
      </w:r>
      <w:r>
        <w:rPr>
          <w:rFonts w:ascii="Times New Roman" w:hAnsi="Times New Roman"/>
          <w:sz w:val="24"/>
          <w:szCs w:val="24"/>
        </w:rPr>
        <w:t>4</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w:t>
      </w:r>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sới</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siêu</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20 </w:t>
      </w:r>
      <w:proofErr w:type="spellStart"/>
      <w:r>
        <w:rPr>
          <w:rFonts w:ascii="Times New Roman" w:hAnsi="Times New Roman"/>
          <w:sz w:val="24"/>
          <w:szCs w:val="24"/>
        </w:rPr>
        <w:t>tỷ</w:t>
      </w:r>
      <w:proofErr w:type="spellEnd"/>
      <w:r>
        <w:rPr>
          <w:rFonts w:ascii="Times New Roman" w:hAnsi="Times New Roman"/>
          <w:sz w:val="24"/>
          <w:szCs w:val="24"/>
        </w:rPr>
        <w:t xml:space="preserve"> USD </w:t>
      </w:r>
      <w:proofErr w:type="spellStart"/>
      <w:r>
        <w:rPr>
          <w:rFonts w:ascii="Times New Roman" w:hAnsi="Times New Roman"/>
          <w:sz w:val="24"/>
          <w:szCs w:val="24"/>
        </w:rPr>
        <w:t>năm</w:t>
      </w:r>
      <w:proofErr w:type="spellEnd"/>
      <w:r>
        <w:rPr>
          <w:rFonts w:ascii="Times New Roman" w:hAnsi="Times New Roman"/>
          <w:sz w:val="24"/>
          <w:szCs w:val="24"/>
        </w:rPr>
        <w:t xml:space="preserve"> 2020</w:t>
      </w:r>
      <w:r w:rsidRPr="006E2436">
        <w:rPr>
          <w:rFonts w:ascii="Times New Roman" w:hAnsi="Times New Roman"/>
          <w:sz w:val="24"/>
          <w:szCs w:val="24"/>
        </w:rPr>
        <w:t xml:space="preserve">.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mua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(PMI)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r>
        <w:rPr>
          <w:rFonts w:ascii="Times New Roman" w:hAnsi="Times New Roman"/>
          <w:sz w:val="24"/>
          <w:szCs w:val="24"/>
        </w:rPr>
        <w:t>12</w:t>
      </w:r>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2021 </w:t>
      </w:r>
      <w:proofErr w:type="spellStart"/>
      <w:r w:rsidRPr="006E2436">
        <w:rPr>
          <w:rFonts w:ascii="Times New Roman" w:hAnsi="Times New Roman"/>
          <w:sz w:val="24"/>
          <w:szCs w:val="24"/>
        </w:rPr>
        <w:t>ghi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nhận</w:t>
      </w:r>
      <w:proofErr w:type="spellEnd"/>
      <w:r w:rsidRPr="006E2436">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52.4</w:t>
      </w:r>
      <w:r w:rsidRPr="006E2436">
        <w:rPr>
          <w:rFonts w:ascii="Times New Roman" w:hAnsi="Times New Roman"/>
          <w:sz w:val="24"/>
          <w:szCs w:val="24"/>
        </w:rPr>
        <w:t xml:space="preserve">, PMI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Pr>
          <w:rFonts w:ascii="Times New Roman" w:hAnsi="Times New Roman"/>
          <w:sz w:val="24"/>
          <w:szCs w:val="24"/>
        </w:rPr>
        <w:t>trên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trung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50 </w:t>
      </w:r>
      <w:proofErr w:type="spellStart"/>
      <w:r w:rsidRPr="006E2436">
        <w:rPr>
          <w:rFonts w:ascii="Times New Roman" w:hAnsi="Times New Roman"/>
          <w:sz w:val="24"/>
          <w:szCs w:val="24"/>
        </w:rPr>
        <w:t>liên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4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khoảng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thời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gian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cửa</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hút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ngoài</w:t>
      </w:r>
      <w:proofErr w:type="spellEnd"/>
      <w:r w:rsidRPr="006E2436">
        <w:rPr>
          <w:rFonts w:ascii="Times New Roman" w:hAnsi="Times New Roman"/>
          <w:sz w:val="24"/>
          <w:szCs w:val="24"/>
        </w:rPr>
        <w:t xml:space="preserve"> (FDI) </w:t>
      </w:r>
      <w:proofErr w:type="spellStart"/>
      <w:r w:rsidRPr="006E2436">
        <w:rPr>
          <w:rFonts w:ascii="Times New Roman" w:hAnsi="Times New Roman"/>
          <w:sz w:val="24"/>
          <w:szCs w:val="24"/>
        </w:rPr>
        <w:t>lũy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w:t>
      </w:r>
      <w:r w:rsidRPr="006E2436">
        <w:rPr>
          <w:rFonts w:ascii="Times New Roman" w:hAnsi="Times New Roman"/>
          <w:sz w:val="24"/>
          <w:szCs w:val="24"/>
        </w:rPr>
        <w:t xml:space="preserve"> </w:t>
      </w:r>
      <w:proofErr w:type="spellStart"/>
      <w:r w:rsidRPr="006E2436">
        <w:rPr>
          <w:rFonts w:ascii="Times New Roman" w:hAnsi="Times New Roman"/>
          <w:sz w:val="24"/>
          <w:szCs w:val="24"/>
        </w:rPr>
        <w:t>cũng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phần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ảnh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chung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giảm</w:t>
      </w:r>
      <w:proofErr w:type="spellEnd"/>
      <w:r w:rsidRPr="006E2436">
        <w:rPr>
          <w:rFonts w:ascii="Times New Roman" w:hAnsi="Times New Roman"/>
          <w:sz w:val="24"/>
          <w:szCs w:val="24"/>
        </w:rPr>
        <w:t xml:space="preserve"> </w:t>
      </w:r>
      <w:proofErr w:type="spellStart"/>
      <w:r>
        <w:rPr>
          <w:rFonts w:ascii="Times New Roman" w:hAnsi="Times New Roman"/>
          <w:sz w:val="24"/>
          <w:szCs w:val="24"/>
        </w:rPr>
        <w:t>nhẹ</w:t>
      </w:r>
      <w:proofErr w:type="spellEnd"/>
      <w:r>
        <w:rPr>
          <w:rFonts w:ascii="Times New Roman" w:hAnsi="Times New Roman"/>
          <w:sz w:val="24"/>
          <w:szCs w:val="24"/>
        </w:rPr>
        <w:t xml:space="preserve"> 1.2</w:t>
      </w:r>
      <w:r w:rsidRPr="006E243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đăng</w:t>
      </w:r>
      <w:proofErr w:type="spellEnd"/>
      <w:r>
        <w:rPr>
          <w:rFonts w:ascii="Times New Roman" w:hAnsi="Times New Roman"/>
          <w:sz w:val="24"/>
          <w:szCs w:val="24"/>
        </w:rPr>
        <w:t xml:space="preserve"> </w:t>
      </w:r>
      <w:proofErr w:type="spellStart"/>
      <w:r>
        <w:rPr>
          <w:rFonts w:ascii="Times New Roman" w:hAnsi="Times New Roman"/>
          <w:sz w:val="24"/>
          <w:szCs w:val="24"/>
        </w:rPr>
        <w:t>ký</w:t>
      </w:r>
      <w:proofErr w:type="spellEnd"/>
      <w:r>
        <w:rPr>
          <w:rFonts w:ascii="Times New Roman" w:hAnsi="Times New Roman"/>
          <w:sz w:val="24"/>
          <w:szCs w:val="24"/>
        </w:rPr>
        <w:t xml:space="preserve"> </w:t>
      </w:r>
      <w:proofErr w:type="spellStart"/>
      <w:r>
        <w:rPr>
          <w:rFonts w:ascii="Times New Roman" w:hAnsi="Times New Roman"/>
          <w:sz w:val="24"/>
          <w:szCs w:val="24"/>
        </w:rPr>
        <w:t>ngược</w:t>
      </w:r>
      <w:proofErr w:type="spellEnd"/>
      <w:r>
        <w:rPr>
          <w:rFonts w:ascii="Times New Roman" w:hAnsi="Times New Roman"/>
          <w:sz w:val="24"/>
          <w:szCs w:val="24"/>
        </w:rPr>
        <w:t xml:space="preserve"> </w:t>
      </w:r>
      <w:proofErr w:type="spellStart"/>
      <w:r>
        <w:rPr>
          <w:rFonts w:ascii="Times New Roman" w:hAnsi="Times New Roman"/>
          <w:sz w:val="24"/>
          <w:szCs w:val="24"/>
        </w:rPr>
        <w:t>dòng</w:t>
      </w:r>
      <w:proofErr w:type="spellEnd"/>
      <w:r>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9.2</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FDI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giải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gần</w:t>
      </w:r>
      <w:proofErr w:type="spellEnd"/>
      <w:r w:rsidRPr="006E2436">
        <w:rPr>
          <w:rFonts w:ascii="Times New Roman" w:hAnsi="Times New Roman"/>
          <w:sz w:val="24"/>
          <w:szCs w:val="24"/>
        </w:rPr>
        <w:t xml:space="preserve"> </w:t>
      </w:r>
      <w:r>
        <w:rPr>
          <w:rFonts w:ascii="Times New Roman" w:hAnsi="Times New Roman"/>
          <w:sz w:val="24"/>
          <w:szCs w:val="24"/>
        </w:rPr>
        <w:t>19.7</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ký</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r>
        <w:rPr>
          <w:rFonts w:ascii="Times New Roman" w:hAnsi="Times New Roman"/>
          <w:sz w:val="24"/>
          <w:szCs w:val="24"/>
        </w:rPr>
        <w:t>31.1</w:t>
      </w:r>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USD. Trong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lạm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hiện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tốt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Chính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Phủ</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thành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công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sidRPr="006E2436">
        <w:rPr>
          <w:rFonts w:ascii="Times New Roman" w:hAnsi="Times New Roman"/>
          <w:sz w:val="24"/>
          <w:szCs w:val="24"/>
        </w:rPr>
        <w:t xml:space="preserve"> CPI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dưới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tiêu</w:t>
      </w:r>
      <w:proofErr w:type="spellEnd"/>
      <w:r w:rsidRPr="006E2436">
        <w:rPr>
          <w:rFonts w:ascii="Times New Roman" w:hAnsi="Times New Roman"/>
          <w:sz w:val="24"/>
          <w:szCs w:val="24"/>
        </w:rPr>
        <w:t xml:space="preserve"> 4%, </w:t>
      </w:r>
      <w:proofErr w:type="spellStart"/>
      <w:r w:rsidRPr="006E2436">
        <w:rPr>
          <w:rFonts w:ascii="Times New Roman" w:hAnsi="Times New Roman"/>
          <w:sz w:val="24"/>
          <w:szCs w:val="24"/>
        </w:rPr>
        <w:t>mặc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dù</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xăng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hàng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đều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mạnh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nhiên</w:t>
      </w:r>
      <w:proofErr w:type="spellEnd"/>
      <w:r w:rsidRPr="006E2436">
        <w:rPr>
          <w:rFonts w:ascii="Times New Roman" w:hAnsi="Times New Roman"/>
          <w:sz w:val="24"/>
          <w:szCs w:val="24"/>
        </w:rPr>
        <w:t xml:space="preserve"> CPI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w:t>
      </w:r>
      <w:r>
        <w:rPr>
          <w:rFonts w:ascii="Times New Roman" w:hAnsi="Times New Roman"/>
          <w:sz w:val="24"/>
          <w:szCs w:val="24"/>
        </w:rPr>
        <w:t>12</w:t>
      </w:r>
      <w:r w:rsidRPr="006E2436">
        <w:rPr>
          <w:rFonts w:ascii="Times New Roman" w:hAnsi="Times New Roman"/>
          <w:sz w:val="24"/>
          <w:szCs w:val="24"/>
        </w:rPr>
        <w:t xml:space="preserve">/2021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1.8</w:t>
      </w:r>
      <w:r>
        <w:rPr>
          <w:rFonts w:ascii="Times New Roman" w:hAnsi="Times New Roman"/>
          <w:sz w:val="24"/>
          <w:szCs w:val="24"/>
        </w:rPr>
        <w:t>1</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tháng</w:t>
      </w:r>
      <w:proofErr w:type="spellEnd"/>
      <w:r w:rsidRPr="006E2436">
        <w:rPr>
          <w:rFonts w:ascii="Times New Roman" w:hAnsi="Times New Roman"/>
          <w:sz w:val="24"/>
          <w:szCs w:val="24"/>
        </w:rPr>
        <w:t xml:space="preserve"> 12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2020 </w:t>
      </w:r>
      <w:proofErr w:type="spellStart"/>
      <w:r w:rsidRPr="006E2436">
        <w:rPr>
          <w:rFonts w:ascii="Times New Roman" w:hAnsi="Times New Roman"/>
          <w:sz w:val="24"/>
          <w:szCs w:val="24"/>
        </w:rPr>
        <w:t>và</w:t>
      </w:r>
      <w:proofErr w:type="spellEnd"/>
      <w:r w:rsidRPr="006E2436">
        <w:rPr>
          <w:rFonts w:ascii="Times New Roman" w:hAnsi="Times New Roman"/>
          <w:sz w:val="24"/>
          <w:szCs w:val="24"/>
        </w:rPr>
        <w:t xml:space="preserve"> </w:t>
      </w:r>
      <w:r>
        <w:rPr>
          <w:rFonts w:ascii="Times New Roman" w:hAnsi="Times New Roman"/>
          <w:sz w:val="24"/>
          <w:szCs w:val="24"/>
        </w:rPr>
        <w:t xml:space="preserve">CPI </w:t>
      </w:r>
      <w:proofErr w:type="spellStart"/>
      <w:r>
        <w:rPr>
          <w:rFonts w:ascii="Times New Roman" w:hAnsi="Times New Roman"/>
          <w:sz w:val="24"/>
          <w:szCs w:val="24"/>
        </w:rPr>
        <w:t>lũy</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r>
        <w:rPr>
          <w:rFonts w:ascii="Times New Roman" w:hAnsi="Times New Roman"/>
          <w:sz w:val="24"/>
          <w:szCs w:val="24"/>
        </w:rPr>
        <w:t>1.84</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cùng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trước</w:t>
      </w:r>
      <w:proofErr w:type="spellEnd"/>
      <w:r w:rsidRPr="006E2436">
        <w:rPr>
          <w:rFonts w:ascii="Times New Roman" w:hAnsi="Times New Roman"/>
          <w:sz w:val="24"/>
          <w:szCs w:val="24"/>
        </w:rPr>
        <w:t xml:space="preserve">. </w:t>
      </w:r>
    </w:p>
    <w:p w14:paraId="7EC53ABE" w14:textId="77777777" w:rsidR="005146DD" w:rsidRPr="006E2436" w:rsidRDefault="005146DD" w:rsidP="005146DD">
      <w:pPr>
        <w:shd w:val="clear" w:color="auto" w:fill="FFFFFF"/>
        <w:tabs>
          <w:tab w:val="left" w:pos="540"/>
        </w:tabs>
        <w:spacing w:before="120" w:after="0" w:line="240" w:lineRule="auto"/>
        <w:jc w:val="both"/>
        <w:rPr>
          <w:rFonts w:ascii="Times New Roman" w:hAnsi="Times New Roman"/>
          <w:sz w:val="24"/>
          <w:szCs w:val="24"/>
        </w:rPr>
      </w:pPr>
      <w:r w:rsidRPr="006E2436">
        <w:rPr>
          <w:rFonts w:ascii="Times New Roman" w:hAnsi="Times New Roman"/>
          <w:sz w:val="24"/>
          <w:szCs w:val="24"/>
        </w:rPr>
        <w:tab/>
        <w:t xml:space="preserve">Thị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chứng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khoán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sôi</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lai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Chỉ</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VN-index </w:t>
      </w:r>
      <w:proofErr w:type="spellStart"/>
      <w:r w:rsidRPr="006E2436">
        <w:rPr>
          <w:rFonts w:ascii="Times New Roman" w:hAnsi="Times New Roman"/>
          <w:sz w:val="24"/>
          <w:szCs w:val="24"/>
        </w:rPr>
        <w:t>đóng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cửa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ngày</w:t>
      </w:r>
      <w:proofErr w:type="spellEnd"/>
      <w:r w:rsidRPr="006E2436">
        <w:rPr>
          <w:rFonts w:ascii="Times New Roman" w:hAnsi="Times New Roman"/>
          <w:sz w:val="24"/>
          <w:szCs w:val="24"/>
        </w:rPr>
        <w:t xml:space="preserve"> 3</w:t>
      </w:r>
      <w:r>
        <w:rPr>
          <w:rFonts w:ascii="Times New Roman" w:hAnsi="Times New Roman"/>
          <w:sz w:val="24"/>
          <w:szCs w:val="24"/>
        </w:rPr>
        <w:t>1</w:t>
      </w:r>
      <w:r w:rsidRPr="006E2436">
        <w:rPr>
          <w:rFonts w:ascii="Times New Roman" w:hAnsi="Times New Roman"/>
          <w:sz w:val="24"/>
          <w:szCs w:val="24"/>
        </w:rPr>
        <w:t>/</w:t>
      </w:r>
      <w:r>
        <w:rPr>
          <w:rFonts w:ascii="Times New Roman" w:hAnsi="Times New Roman"/>
          <w:sz w:val="24"/>
          <w:szCs w:val="24"/>
        </w:rPr>
        <w:t>12</w:t>
      </w:r>
      <w:r w:rsidRPr="006E2436">
        <w:rPr>
          <w:rFonts w:ascii="Times New Roman" w:hAnsi="Times New Roman"/>
          <w:sz w:val="24"/>
          <w:szCs w:val="24"/>
        </w:rPr>
        <w:t xml:space="preserve">/2021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1</w:t>
      </w:r>
      <w:r>
        <w:rPr>
          <w:rFonts w:ascii="Times New Roman" w:hAnsi="Times New Roman"/>
          <w:sz w:val="24"/>
          <w:szCs w:val="24"/>
        </w:rPr>
        <w:t xml:space="preserve">498.2 </w:t>
      </w:r>
      <w:proofErr w:type="spellStart"/>
      <w:r>
        <w:rPr>
          <w:rFonts w:ascii="Times New Roman" w:hAnsi="Times New Roman"/>
          <w:sz w:val="24"/>
          <w:szCs w:val="24"/>
        </w:rPr>
        <w:t>điểm</w:t>
      </w:r>
      <w:proofErr w:type="spellEnd"/>
      <w:r w:rsidRPr="006E2436">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11.63</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ngày</w:t>
      </w:r>
      <w:proofErr w:type="spellEnd"/>
      <w:r w:rsidRPr="006E2436">
        <w:rPr>
          <w:rFonts w:ascii="Times New Roman" w:hAnsi="Times New Roman"/>
          <w:sz w:val="24"/>
          <w:szCs w:val="24"/>
        </w:rPr>
        <w:t xml:space="preserve"> 30/0</w:t>
      </w:r>
      <w:r>
        <w:rPr>
          <w:rFonts w:ascii="Times New Roman" w:hAnsi="Times New Roman"/>
          <w:sz w:val="24"/>
          <w:szCs w:val="24"/>
        </w:rPr>
        <w:t>9</w:t>
      </w:r>
      <w:r w:rsidRPr="006E2436">
        <w:rPr>
          <w:rFonts w:ascii="Times New Roman" w:hAnsi="Times New Roman"/>
          <w:sz w:val="24"/>
          <w:szCs w:val="24"/>
        </w:rPr>
        <w:t>/2021</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35.7%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w:t>
      </w:r>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liệu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bộ</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từ</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Tổng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Thống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Kê</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thấy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vốn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hóa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trường</w:t>
      </w:r>
      <w:proofErr w:type="spellEnd"/>
      <w:r w:rsidRPr="006E2436">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27/12/2021 </w:t>
      </w:r>
      <w:proofErr w:type="spellStart"/>
      <w:r w:rsidRPr="006E2436">
        <w:rPr>
          <w:rFonts w:ascii="Times New Roman" w:hAnsi="Times New Roman"/>
          <w:sz w:val="24"/>
          <w:szCs w:val="24"/>
        </w:rPr>
        <w:t>đạt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w:t>
      </w:r>
      <w:r>
        <w:rPr>
          <w:rFonts w:ascii="Times New Roman" w:hAnsi="Times New Roman"/>
          <w:sz w:val="24"/>
          <w:szCs w:val="24"/>
        </w:rPr>
        <w:t>7.7</w:t>
      </w:r>
      <w:r w:rsidRPr="006E2436">
        <w:rPr>
          <w:rFonts w:ascii="Times New Roman" w:hAnsi="Times New Roman"/>
          <w:sz w:val="24"/>
          <w:szCs w:val="24"/>
        </w:rPr>
        <w:t xml:space="preserve"> </w:t>
      </w:r>
      <w:proofErr w:type="spellStart"/>
      <w:r w:rsidRPr="006E2436">
        <w:rPr>
          <w:rFonts w:ascii="Times New Roman" w:hAnsi="Times New Roman"/>
          <w:sz w:val="24"/>
          <w:szCs w:val="24"/>
        </w:rPr>
        <w:t>triệu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đồng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35%</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cuối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2020; </w:t>
      </w:r>
      <w:proofErr w:type="spellStart"/>
      <w:r w:rsidRPr="006E2436">
        <w:rPr>
          <w:rFonts w:ascii="Times New Roman" w:hAnsi="Times New Roman"/>
          <w:sz w:val="24"/>
          <w:szCs w:val="24"/>
        </w:rPr>
        <w:t>giá</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trị</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giao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bình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hơn</w:t>
      </w:r>
      <w:proofErr w:type="spellEnd"/>
      <w:r w:rsidRPr="006E2436">
        <w:rPr>
          <w:rFonts w:ascii="Times New Roman" w:hAnsi="Times New Roman"/>
          <w:sz w:val="24"/>
          <w:szCs w:val="24"/>
        </w:rPr>
        <w:t xml:space="preserve"> 2</w:t>
      </w:r>
      <w:r>
        <w:rPr>
          <w:rFonts w:ascii="Times New Roman" w:hAnsi="Times New Roman"/>
          <w:sz w:val="24"/>
          <w:szCs w:val="24"/>
        </w:rPr>
        <w:t>6.5</w:t>
      </w:r>
      <w:r w:rsidRPr="006E2436">
        <w:rPr>
          <w:rFonts w:ascii="Times New Roman" w:hAnsi="Times New Roman"/>
          <w:sz w:val="24"/>
          <w:szCs w:val="24"/>
        </w:rPr>
        <w:t xml:space="preserve"> </w:t>
      </w:r>
      <w:proofErr w:type="spellStart"/>
      <w:r w:rsidRPr="006E2436">
        <w:rPr>
          <w:rFonts w:ascii="Times New Roman" w:hAnsi="Times New Roman"/>
          <w:sz w:val="24"/>
          <w:szCs w:val="24"/>
        </w:rPr>
        <w:t>ngàn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tỷ</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đồng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nhờ</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dòng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dẫn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dắt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Số</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lượng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tài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khoản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đầu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nước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mở</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trì</w:t>
      </w:r>
      <w:proofErr w:type="spellEnd"/>
      <w:r w:rsidRPr="006E2436">
        <w:rPr>
          <w:rFonts w:ascii="Times New Roman" w:hAnsi="Times New Roman"/>
          <w:sz w:val="24"/>
          <w:szCs w:val="24"/>
        </w:rPr>
        <w:t xml:space="preserve"> ở </w:t>
      </w:r>
      <w:proofErr w:type="spellStart"/>
      <w:r w:rsidRPr="006E2436">
        <w:rPr>
          <w:rFonts w:ascii="Times New Roman" w:hAnsi="Times New Roman"/>
          <w:sz w:val="24"/>
          <w:szCs w:val="24"/>
        </w:rPr>
        <w:t>mức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cao</w:t>
      </w:r>
      <w:proofErr w:type="spellEnd"/>
      <w:r w:rsidRPr="006E2436">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1.5 </w:t>
      </w:r>
      <w:proofErr w:type="spellStart"/>
      <w:r>
        <w:rPr>
          <w:rFonts w:ascii="Times New Roman" w:hAnsi="Times New Roman"/>
          <w:sz w:val="24"/>
          <w:szCs w:val="24"/>
        </w:rPr>
        <w:t>triệu</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riêng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12/2021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226.000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10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10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mới</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ở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100.000 </w:t>
      </w:r>
      <w:proofErr w:type="spellStart"/>
      <w:r>
        <w:rPr>
          <w:rFonts w:ascii="Times New Roman" w:hAnsi="Times New Roman"/>
          <w:sz w:val="24"/>
          <w:szCs w:val="24"/>
        </w:rPr>
        <w:t>mỗi</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sidRPr="006E2436">
        <w:rPr>
          <w:rFonts w:ascii="Times New Roman" w:hAnsi="Times New Roman"/>
          <w:sz w:val="24"/>
          <w:szCs w:val="24"/>
        </w:rPr>
        <w:t>.</w:t>
      </w:r>
    </w:p>
    <w:p w14:paraId="3A960205" w14:textId="3B003936" w:rsidR="006D6A1B" w:rsidRDefault="005146DD" w:rsidP="005146DD">
      <w:pPr>
        <w:shd w:val="clear" w:color="auto" w:fill="FFFFFF"/>
        <w:tabs>
          <w:tab w:val="left" w:pos="540"/>
        </w:tabs>
        <w:spacing w:before="120" w:after="0" w:line="240" w:lineRule="auto"/>
        <w:jc w:val="both"/>
        <w:rPr>
          <w:rFonts w:ascii="Times New Roman" w:hAnsi="Times New Roman"/>
          <w:sz w:val="24"/>
          <w:szCs w:val="24"/>
        </w:rPr>
      </w:pPr>
      <w:r w:rsidRPr="006E2436">
        <w:rPr>
          <w:rFonts w:ascii="Times New Roman" w:hAnsi="Times New Roman"/>
          <w:sz w:val="24"/>
          <w:szCs w:val="24"/>
        </w:rPr>
        <w:tab/>
        <w:t xml:space="preserve">Sau </w:t>
      </w:r>
      <w:proofErr w:type="spellStart"/>
      <w:r w:rsidRPr="006E2436">
        <w:rPr>
          <w:rFonts w:ascii="Times New Roman" w:hAnsi="Times New Roman"/>
          <w:sz w:val="24"/>
          <w:szCs w:val="24"/>
        </w:rPr>
        <w:t>khi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triển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khai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chủng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mô</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toàn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quốc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vấn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đề</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dịch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bệnh</w:t>
      </w:r>
      <w:proofErr w:type="spellEnd"/>
      <w:r w:rsidRPr="006E2436">
        <w:rPr>
          <w:rFonts w:ascii="Times New Roman" w:hAnsi="Times New Roman"/>
          <w:sz w:val="24"/>
          <w:szCs w:val="24"/>
        </w:rPr>
        <w:t xml:space="preserve"> Covid-19 </w:t>
      </w:r>
      <w:proofErr w:type="spellStart"/>
      <w:r w:rsidRPr="006E2436">
        <w:rPr>
          <w:rFonts w:ascii="Times New Roman" w:hAnsi="Times New Roman"/>
          <w:sz w:val="24"/>
          <w:szCs w:val="24"/>
        </w:rPr>
        <w:t>của</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 </w:t>
      </w:r>
      <w:proofErr w:type="spellStart"/>
      <w:r w:rsidRPr="006E2436">
        <w:rPr>
          <w:rFonts w:ascii="Times New Roman" w:hAnsi="Times New Roman"/>
          <w:sz w:val="24"/>
          <w:szCs w:val="24"/>
        </w:rPr>
        <w:t>gần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được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kiểm</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w:t>
      </w:r>
      <w:r w:rsidRPr="006E2436">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ban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nghị</w:t>
      </w:r>
      <w:proofErr w:type="spellEnd"/>
      <w:r>
        <w:rPr>
          <w:rFonts w:ascii="Times New Roman" w:hAnsi="Times New Roman"/>
          <w:sz w:val="24"/>
          <w:szCs w:val="24"/>
        </w:rPr>
        <w:t xml:space="preserve"> </w:t>
      </w:r>
      <w:proofErr w:type="spellStart"/>
      <w:r>
        <w:rPr>
          <w:rFonts w:ascii="Times New Roman" w:hAnsi="Times New Roman"/>
          <w:sz w:val="24"/>
          <w:szCs w:val="24"/>
        </w:rPr>
        <w:t>quyết</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6%-6.5%</w:t>
      </w:r>
      <w:r w:rsidRPr="006E2436">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IMF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khoảng</w:t>
      </w:r>
      <w:proofErr w:type="spellEnd"/>
      <w:r>
        <w:rPr>
          <w:rFonts w:ascii="Times New Roman" w:hAnsi="Times New Roman"/>
          <w:sz w:val="24"/>
          <w:szCs w:val="24"/>
        </w:rPr>
        <w:t xml:space="preserve"> 6.6%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w:t>
      </w:r>
      <w:r w:rsidRPr="006E2436">
        <w:rPr>
          <w:rFonts w:ascii="Times New Roman" w:hAnsi="Times New Roman"/>
          <w:sz w:val="24"/>
          <w:szCs w:val="24"/>
        </w:rPr>
        <w:t xml:space="preserve"> </w:t>
      </w:r>
      <w:proofErr w:type="spellStart"/>
      <w:r w:rsidRPr="006E2436">
        <w:rPr>
          <w:rFonts w:ascii="Times New Roman" w:hAnsi="Times New Roman"/>
          <w:sz w:val="24"/>
          <w:szCs w:val="24"/>
        </w:rPr>
        <w:t>Tuy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nhiên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lạm</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xấu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sidRPr="006E2436">
        <w:rPr>
          <w:rFonts w:ascii="Times New Roman" w:hAnsi="Times New Roman"/>
          <w:sz w:val="24"/>
          <w:szCs w:val="24"/>
        </w:rPr>
        <w:t>các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rủi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ro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từ</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giới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như</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đã</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phân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tích</w:t>
      </w:r>
      <w:proofErr w:type="spellEnd"/>
      <w:r w:rsidRPr="006E2436">
        <w:rPr>
          <w:rFonts w:ascii="Times New Roman" w:hAnsi="Times New Roman"/>
          <w:sz w:val="24"/>
          <w:szCs w:val="24"/>
        </w:rPr>
        <w:t xml:space="preserve"> ở </w:t>
      </w:r>
      <w:proofErr w:type="spellStart"/>
      <w:r w:rsidRPr="006E2436">
        <w:rPr>
          <w:rFonts w:ascii="Times New Roman" w:hAnsi="Times New Roman"/>
          <w:sz w:val="24"/>
          <w:szCs w:val="24"/>
        </w:rPr>
        <w:t>trên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thể</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tiếp</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tục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động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tiêu</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cực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lên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nền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Việt</w:t>
      </w:r>
      <w:proofErr w:type="spellEnd"/>
      <w:r w:rsidRPr="006E2436">
        <w:rPr>
          <w:rFonts w:ascii="Times New Roman" w:hAnsi="Times New Roman"/>
          <w:sz w:val="24"/>
          <w:szCs w:val="24"/>
        </w:rPr>
        <w:t xml:space="preserve"> Nam</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Các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khó</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khăn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này</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là</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thách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thức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cho</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Chính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Phủ</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việc</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ổn</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định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vĩ</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mô</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tăng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trưởng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kinh</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tế</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trong</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năm</w:t>
      </w:r>
      <w:proofErr w:type="spellEnd"/>
      <w:r w:rsidRPr="006E2436">
        <w:rPr>
          <w:rFonts w:ascii="Times New Roman" w:hAnsi="Times New Roman"/>
          <w:sz w:val="24"/>
          <w:szCs w:val="24"/>
        </w:rPr>
        <w:t xml:space="preserve"> 2022.</w:t>
      </w:r>
      <w:bookmarkEnd w:id="9"/>
    </w:p>
    <w:p w14:paraId="5E5F1533" w14:textId="5DEAB206" w:rsidR="006E2436" w:rsidRDefault="006E2436" w:rsidP="006E2436">
      <w:pPr>
        <w:shd w:val="clear" w:color="auto" w:fill="FFFFFF"/>
        <w:tabs>
          <w:tab w:val="left" w:pos="540"/>
        </w:tabs>
        <w:spacing w:before="120" w:after="0" w:line="240" w:lineRule="auto"/>
        <w:jc w:val="both"/>
        <w:rPr>
          <w:rFonts w:ascii="Times New Roman" w:hAnsi="Times New Roman"/>
          <w:sz w:val="24"/>
          <w:szCs w:val="24"/>
          <w:lang w:val="nl-NL"/>
        </w:rPr>
      </w:pPr>
    </w:p>
    <w:p w14:paraId="0FBC81D9" w14:textId="4DCE2A5D" w:rsidR="00B7729E" w:rsidRDefault="00B7729E" w:rsidP="006E2436">
      <w:pPr>
        <w:shd w:val="clear" w:color="auto" w:fill="FFFFFF"/>
        <w:tabs>
          <w:tab w:val="left" w:pos="540"/>
        </w:tabs>
        <w:spacing w:before="120" w:after="0" w:line="240" w:lineRule="auto"/>
        <w:jc w:val="both"/>
        <w:rPr>
          <w:rFonts w:ascii="Times New Roman" w:hAnsi="Times New Roman"/>
          <w:sz w:val="24"/>
          <w:szCs w:val="24"/>
          <w:lang w:val="nl-NL"/>
        </w:rPr>
      </w:pPr>
    </w:p>
    <w:p w14:paraId="793C0507" w14:textId="77777777" w:rsidR="00B7729E" w:rsidRPr="00A90AB7" w:rsidRDefault="00B7729E" w:rsidP="006E2436">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lastRenderedPageBreak/>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B7729E">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067968" w:rsidRPr="00A90AB7" w14:paraId="013F1FB5" w14:textId="77777777" w:rsidTr="00181C49">
        <w:tc>
          <w:tcPr>
            <w:tcW w:w="1875" w:type="pct"/>
            <w:shd w:val="clear" w:color="auto" w:fill="auto"/>
            <w:vAlign w:val="center"/>
          </w:tcPr>
          <w:p w14:paraId="6740DD82"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tcPr>
          <w:p w14:paraId="29744D10" w14:textId="77777777" w:rsidR="00181C49" w:rsidRDefault="00181C49" w:rsidP="00181C49">
            <w:pPr>
              <w:tabs>
                <w:tab w:val="left" w:pos="540"/>
              </w:tabs>
              <w:spacing w:after="0" w:line="240" w:lineRule="auto"/>
              <w:ind w:left="58" w:right="58"/>
              <w:jc w:val="center"/>
              <w:rPr>
                <w:rFonts w:ascii="Times New Roman" w:eastAsia="Times New Roman" w:hAnsi="Times New Roman"/>
                <w:sz w:val="24"/>
                <w:szCs w:val="24"/>
                <w:lang w:val="nl-NL"/>
              </w:rPr>
            </w:pPr>
          </w:p>
          <w:p w14:paraId="3E7EBDC3" w14:textId="6B2FF26E"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21.79%</w:t>
            </w:r>
          </w:p>
        </w:tc>
        <w:tc>
          <w:tcPr>
            <w:tcW w:w="1024" w:type="pct"/>
            <w:shd w:val="clear" w:color="auto" w:fill="auto"/>
            <w:vAlign w:val="center"/>
          </w:tcPr>
          <w:p w14:paraId="1F42AD25" w14:textId="0D4D7E8B"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0ED7347B" w14:textId="77777777" w:rsidR="00181C49" w:rsidRDefault="00181C49" w:rsidP="00181C49">
            <w:pPr>
              <w:tabs>
                <w:tab w:val="left" w:pos="540"/>
              </w:tabs>
              <w:spacing w:after="0" w:line="240" w:lineRule="auto"/>
              <w:ind w:left="58" w:right="58"/>
              <w:jc w:val="center"/>
              <w:rPr>
                <w:rFonts w:ascii="Times New Roman" w:eastAsia="Times New Roman" w:hAnsi="Times New Roman"/>
                <w:sz w:val="24"/>
                <w:szCs w:val="24"/>
                <w:lang w:val="nl-NL"/>
              </w:rPr>
            </w:pPr>
          </w:p>
          <w:p w14:paraId="5BF92CF8" w14:textId="6DBD3640"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30.48%</w:t>
            </w:r>
          </w:p>
        </w:tc>
      </w:tr>
      <w:tr w:rsidR="00067968" w:rsidRPr="00A90AB7" w14:paraId="1A1556A7" w14:textId="77777777" w:rsidTr="00181C49">
        <w:tc>
          <w:tcPr>
            <w:tcW w:w="1875" w:type="pct"/>
            <w:shd w:val="clear" w:color="auto" w:fill="auto"/>
            <w:vAlign w:val="center"/>
          </w:tcPr>
          <w:p w14:paraId="6DB00EA9"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tcPr>
          <w:p w14:paraId="162F542C" w14:textId="07FB140B"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-3.07%</w:t>
            </w:r>
          </w:p>
        </w:tc>
        <w:tc>
          <w:tcPr>
            <w:tcW w:w="1024" w:type="pct"/>
            <w:shd w:val="clear" w:color="auto" w:fill="auto"/>
            <w:vAlign w:val="center"/>
          </w:tcPr>
          <w:p w14:paraId="30BCD4DB" w14:textId="4BC4DCE4"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573EAA3A" w14:textId="3ACF48C1"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12.93%</w:t>
            </w:r>
          </w:p>
        </w:tc>
      </w:tr>
      <w:tr w:rsidR="00067968" w:rsidRPr="00A90AB7" w14:paraId="5AE0FE5D" w14:textId="77777777" w:rsidTr="00181C49">
        <w:tc>
          <w:tcPr>
            <w:tcW w:w="1875" w:type="pct"/>
            <w:shd w:val="clear" w:color="auto" w:fill="auto"/>
            <w:vAlign w:val="center"/>
          </w:tcPr>
          <w:p w14:paraId="3FAA0781"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tcPr>
          <w:p w14:paraId="78EEBA99" w14:textId="710516A4" w:rsidR="00067968" w:rsidRPr="00A90AB7" w:rsidRDefault="00067968" w:rsidP="00181C49">
            <w:pPr>
              <w:tabs>
                <w:tab w:val="left" w:pos="540"/>
              </w:tabs>
              <w:spacing w:after="0" w:line="240" w:lineRule="auto"/>
              <w:ind w:right="58"/>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30.05%</w:t>
            </w:r>
          </w:p>
        </w:tc>
        <w:tc>
          <w:tcPr>
            <w:tcW w:w="1024" w:type="pct"/>
            <w:shd w:val="clear" w:color="auto" w:fill="auto"/>
            <w:vAlign w:val="center"/>
          </w:tcPr>
          <w:p w14:paraId="79797E82" w14:textId="5A5AFD1B"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44F7360A" w14:textId="3D26F825"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64.23%</w:t>
            </w:r>
          </w:p>
        </w:tc>
      </w:tr>
      <w:tr w:rsidR="00067968" w:rsidRPr="00A90AB7" w14:paraId="275BF76B" w14:textId="77777777" w:rsidTr="00181C49">
        <w:tc>
          <w:tcPr>
            <w:tcW w:w="1875" w:type="pct"/>
            <w:shd w:val="clear" w:color="auto" w:fill="auto"/>
            <w:vAlign w:val="center"/>
          </w:tcPr>
          <w:p w14:paraId="048B22BC" w14:textId="77777777" w:rsidR="00067968" w:rsidRPr="00A90AB7" w:rsidRDefault="00067968" w:rsidP="00067968">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tcPr>
          <w:p w14:paraId="4C267BEA" w14:textId="77777777" w:rsidR="00181C49" w:rsidRDefault="00181C49" w:rsidP="00181C49">
            <w:pPr>
              <w:tabs>
                <w:tab w:val="left" w:pos="540"/>
              </w:tabs>
              <w:spacing w:after="0" w:line="240" w:lineRule="auto"/>
              <w:ind w:left="58" w:right="58"/>
              <w:jc w:val="center"/>
              <w:rPr>
                <w:rFonts w:ascii="Times New Roman" w:eastAsia="Times New Roman" w:hAnsi="Times New Roman"/>
                <w:sz w:val="24"/>
                <w:szCs w:val="24"/>
                <w:lang w:val="nl-NL"/>
              </w:rPr>
            </w:pPr>
          </w:p>
          <w:p w14:paraId="68C03DD1" w14:textId="375828EA"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30.05%</w:t>
            </w:r>
          </w:p>
        </w:tc>
        <w:tc>
          <w:tcPr>
            <w:tcW w:w="1024" w:type="pct"/>
            <w:shd w:val="clear" w:color="auto" w:fill="auto"/>
            <w:vAlign w:val="center"/>
          </w:tcPr>
          <w:p w14:paraId="32106B9E" w14:textId="6FACCC52"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tcPr>
          <w:p w14:paraId="7D356677" w14:textId="77777777" w:rsidR="00181C49" w:rsidRDefault="00181C49" w:rsidP="00181C49">
            <w:pPr>
              <w:tabs>
                <w:tab w:val="left" w:pos="540"/>
              </w:tabs>
              <w:spacing w:after="0" w:line="240" w:lineRule="auto"/>
              <w:ind w:left="58" w:right="58"/>
              <w:jc w:val="center"/>
              <w:rPr>
                <w:rFonts w:ascii="Times New Roman" w:eastAsia="Times New Roman" w:hAnsi="Times New Roman"/>
                <w:sz w:val="24"/>
                <w:szCs w:val="24"/>
                <w:lang w:val="nl-NL"/>
              </w:rPr>
            </w:pPr>
          </w:p>
          <w:p w14:paraId="3AFD6D6E" w14:textId="0C463A40" w:rsidR="00067968" w:rsidRPr="00A90AB7" w:rsidRDefault="00067968" w:rsidP="00181C49">
            <w:pPr>
              <w:tabs>
                <w:tab w:val="left" w:pos="540"/>
              </w:tabs>
              <w:spacing w:after="0" w:line="240" w:lineRule="auto"/>
              <w:ind w:left="58" w:right="58"/>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18.00%</w:t>
            </w:r>
          </w:p>
        </w:tc>
      </w:tr>
      <w:tr w:rsidR="00BE6F63" w:rsidRPr="00A90AB7" w14:paraId="331CA308" w14:textId="77777777" w:rsidTr="00181C49">
        <w:tc>
          <w:tcPr>
            <w:tcW w:w="187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974" w:type="pct"/>
            <w:shd w:val="clear" w:color="auto" w:fill="auto"/>
            <w:vAlign w:val="center"/>
          </w:tcPr>
          <w:p w14:paraId="51E4F642" w14:textId="6DB8D5E5" w:rsidR="00BE6F63" w:rsidRPr="00A90AB7" w:rsidRDefault="00394460"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81C49">
        <w:tc>
          <w:tcPr>
            <w:tcW w:w="187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974" w:type="pct"/>
            <w:shd w:val="clear" w:color="auto" w:fill="auto"/>
            <w:vAlign w:val="center"/>
          </w:tcPr>
          <w:p w14:paraId="66B6B561" w14:textId="3EF5A90A" w:rsidR="00BE6F63" w:rsidRPr="00A90AB7" w:rsidRDefault="00394460"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81C49">
            <w:pPr>
              <w:tabs>
                <w:tab w:val="left" w:pos="540"/>
              </w:tabs>
              <w:spacing w:after="0" w:line="240" w:lineRule="auto"/>
              <w:ind w:left="58" w:right="58"/>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7F421324" w14:textId="77777777" w:rsidR="00505ACF" w:rsidRDefault="00505ACF" w:rsidP="00505AC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Vốn, Tổng tăng trưởng, Tăng trưởng hàng năm: Dựa trên tăng trưởng của giá trị tài sản ròng (NAV) trên 1 đơn vị Chứng chỉ Quỹ</w:t>
      </w:r>
    </w:p>
    <w:p w14:paraId="24E55234"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Chú thích:</w:t>
      </w:r>
    </w:p>
    <w:p w14:paraId="0C8F4DC4"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 N/A</w:t>
      </w:r>
      <w:r>
        <w:rPr>
          <w:rFonts w:ascii="Times New Roman" w:hAnsi="Times New Roman"/>
          <w:i/>
          <w:sz w:val="24"/>
          <w:szCs w:val="24"/>
          <w:vertAlign w:val="superscript"/>
          <w:lang w:val="nl-NL"/>
        </w:rPr>
        <w:t>(1)</w:t>
      </w:r>
      <w:r>
        <w:rPr>
          <w:rFonts w:ascii="Times New Roman" w:hAnsi="Times New Roman"/>
          <w:i/>
          <w:sz w:val="24"/>
          <w:szCs w:val="24"/>
          <w:lang w:val="nl-NL"/>
        </w:rPr>
        <w:t>: Quỹ mới thành lập và đi vào hoạt động từ ngày 03 tháng 01 năm 2019, chỉ tiêu không đủ dữ liệu để tính toán.</w:t>
      </w:r>
    </w:p>
    <w:p w14:paraId="70A70682"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 N/A</w:t>
      </w:r>
      <w:r>
        <w:rPr>
          <w:rFonts w:ascii="Times New Roman" w:hAnsi="Times New Roman"/>
          <w:i/>
          <w:sz w:val="24"/>
          <w:szCs w:val="24"/>
          <w:vertAlign w:val="superscript"/>
          <w:lang w:val="nl-NL"/>
        </w:rPr>
        <w:t>(2)</w:t>
      </w:r>
      <w:r>
        <w:rPr>
          <w:rFonts w:ascii="Times New Roman" w:hAnsi="Times New Roman"/>
          <w:i/>
          <w:sz w:val="24"/>
          <w:szCs w:val="24"/>
          <w:lang w:val="nl-NL"/>
        </w:rPr>
        <w:t>: Chứng chỉ Quỹ của quỹ không được niêm yết trên thị trường chứng khoán.</w:t>
      </w:r>
    </w:p>
    <w:p w14:paraId="52B18CCE" w14:textId="77777777" w:rsidR="00505ACF" w:rsidRDefault="00505ACF" w:rsidP="00505ACF">
      <w:pPr>
        <w:shd w:val="clear" w:color="auto" w:fill="FFFFFF"/>
        <w:tabs>
          <w:tab w:val="left" w:pos="540"/>
        </w:tabs>
        <w:spacing w:before="120" w:after="0" w:line="240" w:lineRule="auto"/>
        <w:jc w:val="both"/>
        <w:rPr>
          <w:rFonts w:ascii="Times New Roman" w:hAnsi="Times New Roman"/>
          <w:i/>
          <w:sz w:val="24"/>
          <w:szCs w:val="24"/>
          <w:lang w:val="nl-NL"/>
        </w:rPr>
      </w:pPr>
      <w:r>
        <w:rPr>
          <w:rFonts w:ascii="Times New Roman" w:hAnsi="Times New Roman"/>
          <w:i/>
          <w:sz w:val="24"/>
          <w:szCs w:val="24"/>
          <w:lang w:val="nl-NL"/>
        </w:rPr>
        <w:t>- N/A</w:t>
      </w:r>
      <w:r>
        <w:rPr>
          <w:rFonts w:ascii="Times New Roman" w:hAnsi="Times New Roman"/>
          <w:i/>
          <w:sz w:val="24"/>
          <w:szCs w:val="24"/>
          <w:vertAlign w:val="superscript"/>
          <w:lang w:val="nl-NL"/>
        </w:rPr>
        <w:t>(5)</w:t>
      </w:r>
      <w:r>
        <w:rPr>
          <w:rFonts w:ascii="Times New Roman" w:hAnsi="Times New Roman"/>
          <w:i/>
          <w:sz w:val="24"/>
          <w:szCs w:val="24"/>
          <w:lang w:val="nl-NL"/>
        </w:rPr>
        <w:t>: Quỹ không sử dụng danh mục cơ cấu.</w:t>
      </w:r>
    </w:p>
    <w:p w14:paraId="1C31B4FC" w14:textId="01359DE2" w:rsidR="000C67AE"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585972EC" w14:textId="3BE272B1" w:rsidR="00753C12" w:rsidRDefault="000C67AE" w:rsidP="000C67AE">
      <w:pPr>
        <w:shd w:val="clear" w:color="auto" w:fill="FFFFFF"/>
        <w:tabs>
          <w:tab w:val="left" w:pos="540"/>
        </w:tabs>
        <w:spacing w:before="120" w:after="0" w:line="240" w:lineRule="auto"/>
        <w:jc w:val="both"/>
        <w:rPr>
          <w:rFonts w:ascii="Times New Roman" w:hAnsi="Times New Roman"/>
          <w:sz w:val="24"/>
          <w:szCs w:val="24"/>
          <w:lang w:val="nl-NL"/>
        </w:rPr>
      </w:pPr>
      <w:r>
        <w:rPr>
          <w:noProof/>
        </w:rPr>
        <w:lastRenderedPageBreak/>
        <w:drawing>
          <wp:inline distT="0" distB="0" distL="0" distR="0" wp14:anchorId="71AC23F2" wp14:editId="783528DF">
            <wp:extent cx="5931535" cy="3315694"/>
            <wp:effectExtent l="0" t="0" r="12065" b="18415"/>
            <wp:docPr id="4" name="Chart 4">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092C03E9" w:rsidR="00BE6F63"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A90AB7">
        <w:rPr>
          <w:rFonts w:ascii="Times New Roman" w:hAnsi="Times New Roman"/>
          <w:sz w:val="24"/>
          <w:szCs w:val="24"/>
          <w:lang w:val="nl-NL"/>
        </w:rPr>
        <w:t>Thay đổi giá trị tài sản ròng.</w:t>
      </w:r>
    </w:p>
    <w:tbl>
      <w:tblPr>
        <w:tblW w:w="0" w:type="auto"/>
        <w:tblLook w:val="04A0" w:firstRow="1" w:lastRow="0" w:firstColumn="1" w:lastColumn="0" w:noHBand="0" w:noVBand="1"/>
      </w:tblPr>
      <w:tblGrid>
        <w:gridCol w:w="2967"/>
        <w:gridCol w:w="1985"/>
        <w:gridCol w:w="2692"/>
        <w:gridCol w:w="1696"/>
      </w:tblGrid>
      <w:tr w:rsidR="00360AD3" w:rsidRPr="00A90AB7" w14:paraId="189F8127" w14:textId="77777777" w:rsidTr="00BF7360">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2377E7" w14:textId="50869720"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Chỉ tiêu</w:t>
            </w:r>
          </w:p>
        </w:tc>
        <w:tc>
          <w:tcPr>
            <w:tcW w:w="1985" w:type="dxa"/>
            <w:tcBorders>
              <w:top w:val="single" w:sz="8" w:space="0" w:color="auto"/>
              <w:left w:val="nil"/>
              <w:bottom w:val="single" w:sz="8" w:space="0" w:color="auto"/>
              <w:right w:val="single" w:sz="8" w:space="0" w:color="auto"/>
            </w:tcBorders>
            <w:shd w:val="clear" w:color="auto" w:fill="auto"/>
            <w:hideMark/>
          </w:tcPr>
          <w:p w14:paraId="5DBB8653" w14:textId="7808B32D"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w:t>
            </w:r>
            <w:r w:rsidR="004D7871">
              <w:rPr>
                <w:rFonts w:ascii="Times New Roman" w:eastAsia="Times New Roman" w:hAnsi="Times New Roman"/>
                <w:sz w:val="24"/>
                <w:szCs w:val="24"/>
                <w:lang w:val="nl-NL"/>
              </w:rPr>
              <w:t>1</w:t>
            </w:r>
            <w:r w:rsidRPr="00360AD3">
              <w:rPr>
                <w:rFonts w:ascii="Times New Roman" w:eastAsia="Times New Roman" w:hAnsi="Times New Roman"/>
                <w:sz w:val="24"/>
                <w:szCs w:val="24"/>
                <w:lang w:val="nl-NL"/>
              </w:rPr>
              <w:t>/</w:t>
            </w:r>
            <w:r w:rsidR="004D7871">
              <w:rPr>
                <w:rFonts w:ascii="Times New Roman" w:eastAsia="Times New Roman" w:hAnsi="Times New Roman"/>
                <w:sz w:val="24"/>
                <w:szCs w:val="24"/>
                <w:lang w:val="nl-NL"/>
              </w:rPr>
              <w:t>12</w:t>
            </w:r>
            <w:r w:rsidRPr="00360AD3">
              <w:rPr>
                <w:rFonts w:ascii="Times New Roman" w:eastAsia="Times New Roman" w:hAnsi="Times New Roman"/>
                <w:sz w:val="24"/>
                <w:szCs w:val="24"/>
                <w:lang w:val="nl-NL"/>
              </w:rPr>
              <w:t>/2021</w:t>
            </w:r>
          </w:p>
        </w:tc>
        <w:tc>
          <w:tcPr>
            <w:tcW w:w="2692" w:type="dxa"/>
            <w:tcBorders>
              <w:top w:val="single" w:sz="8" w:space="0" w:color="auto"/>
              <w:left w:val="nil"/>
              <w:bottom w:val="single" w:sz="8" w:space="0" w:color="auto"/>
              <w:right w:val="single" w:sz="8" w:space="0" w:color="auto"/>
            </w:tcBorders>
            <w:shd w:val="clear" w:color="auto" w:fill="auto"/>
            <w:hideMark/>
          </w:tcPr>
          <w:p w14:paraId="7E1CFAD6" w14:textId="11E087C5"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w:t>
            </w:r>
            <w:r w:rsidR="004D7871">
              <w:rPr>
                <w:rFonts w:ascii="Times New Roman" w:eastAsia="Times New Roman" w:hAnsi="Times New Roman"/>
                <w:sz w:val="24"/>
                <w:szCs w:val="24"/>
                <w:lang w:val="nl-NL"/>
              </w:rPr>
              <w:t>1</w:t>
            </w:r>
            <w:r w:rsidRPr="00360AD3">
              <w:rPr>
                <w:rFonts w:ascii="Times New Roman" w:eastAsia="Times New Roman" w:hAnsi="Times New Roman"/>
                <w:sz w:val="24"/>
                <w:szCs w:val="24"/>
                <w:lang w:val="nl-NL"/>
              </w:rPr>
              <w:t>/</w:t>
            </w:r>
            <w:r w:rsidR="004D7871">
              <w:rPr>
                <w:rFonts w:ascii="Times New Roman" w:eastAsia="Times New Roman" w:hAnsi="Times New Roman"/>
                <w:sz w:val="24"/>
                <w:szCs w:val="24"/>
                <w:lang w:val="nl-NL"/>
              </w:rPr>
              <w:t>12</w:t>
            </w:r>
            <w:r w:rsidRPr="00360AD3">
              <w:rPr>
                <w:rFonts w:ascii="Times New Roman" w:eastAsia="Times New Roman" w:hAnsi="Times New Roman"/>
                <w:sz w:val="24"/>
                <w:szCs w:val="24"/>
                <w:lang w:val="nl-NL"/>
              </w:rPr>
              <w:t>/2020</w:t>
            </w:r>
          </w:p>
        </w:tc>
        <w:tc>
          <w:tcPr>
            <w:tcW w:w="1696" w:type="dxa"/>
            <w:tcBorders>
              <w:top w:val="single" w:sz="8" w:space="0" w:color="auto"/>
              <w:left w:val="nil"/>
              <w:bottom w:val="single" w:sz="8" w:space="0" w:color="auto"/>
              <w:right w:val="single" w:sz="8" w:space="0" w:color="auto"/>
            </w:tcBorders>
            <w:shd w:val="clear" w:color="auto" w:fill="auto"/>
            <w:hideMark/>
          </w:tcPr>
          <w:p w14:paraId="38CFD808" w14:textId="3A306496"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Tỷ lệ thay đổi</w:t>
            </w:r>
          </w:p>
        </w:tc>
      </w:tr>
      <w:tr w:rsidR="00360AD3" w:rsidRPr="00A90AB7" w14:paraId="742B9251" w14:textId="77777777" w:rsidTr="00360AD3">
        <w:trPr>
          <w:trHeight w:val="315"/>
        </w:trPr>
        <w:tc>
          <w:tcPr>
            <w:tcW w:w="2967" w:type="dxa"/>
            <w:tcBorders>
              <w:top w:val="nil"/>
              <w:left w:val="single" w:sz="8" w:space="0" w:color="auto"/>
              <w:bottom w:val="single" w:sz="4" w:space="0" w:color="auto"/>
              <w:right w:val="single" w:sz="8" w:space="0" w:color="auto"/>
            </w:tcBorders>
            <w:shd w:val="clear" w:color="auto" w:fill="auto"/>
            <w:hideMark/>
          </w:tcPr>
          <w:p w14:paraId="3A2A6B44" w14:textId="3C87078D"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A</w:t>
            </w:r>
          </w:p>
        </w:tc>
        <w:tc>
          <w:tcPr>
            <w:tcW w:w="1985" w:type="dxa"/>
            <w:tcBorders>
              <w:top w:val="nil"/>
              <w:left w:val="nil"/>
              <w:bottom w:val="single" w:sz="4" w:space="0" w:color="auto"/>
              <w:right w:val="single" w:sz="8" w:space="0" w:color="auto"/>
            </w:tcBorders>
            <w:shd w:val="clear" w:color="auto" w:fill="auto"/>
          </w:tcPr>
          <w:p w14:paraId="0861EF17" w14:textId="6E270485"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1</w:t>
            </w:r>
          </w:p>
        </w:tc>
        <w:tc>
          <w:tcPr>
            <w:tcW w:w="2692" w:type="dxa"/>
            <w:tcBorders>
              <w:top w:val="nil"/>
              <w:left w:val="nil"/>
              <w:bottom w:val="single" w:sz="4" w:space="0" w:color="auto"/>
              <w:right w:val="single" w:sz="8" w:space="0" w:color="auto"/>
            </w:tcBorders>
            <w:shd w:val="clear" w:color="auto" w:fill="auto"/>
          </w:tcPr>
          <w:p w14:paraId="301E0199" w14:textId="1EAE2953"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2</w:t>
            </w:r>
          </w:p>
        </w:tc>
        <w:tc>
          <w:tcPr>
            <w:tcW w:w="1696" w:type="dxa"/>
            <w:tcBorders>
              <w:top w:val="nil"/>
              <w:left w:val="nil"/>
              <w:bottom w:val="single" w:sz="4" w:space="0" w:color="auto"/>
              <w:right w:val="single" w:sz="8" w:space="0" w:color="auto"/>
            </w:tcBorders>
            <w:shd w:val="clear" w:color="auto" w:fill="auto"/>
          </w:tcPr>
          <w:p w14:paraId="0A3025EC" w14:textId="75588229" w:rsidR="00360AD3" w:rsidRPr="00360AD3" w:rsidRDefault="00360AD3" w:rsidP="00360AD3">
            <w:pPr>
              <w:spacing w:after="0" w:line="240" w:lineRule="auto"/>
              <w:jc w:val="center"/>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3=((1)-(2))/(2)</w:t>
            </w:r>
          </w:p>
        </w:tc>
      </w:tr>
      <w:tr w:rsidR="00067968" w:rsidRPr="00A90AB7" w14:paraId="75024D1E" w14:textId="77777777" w:rsidTr="0098532D">
        <w:trPr>
          <w:trHeight w:val="315"/>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04815342" w14:textId="5AC64FBA" w:rsidR="00067968" w:rsidRPr="00360AD3" w:rsidRDefault="00067968" w:rsidP="00067968">
            <w:pPr>
              <w:spacing w:after="0" w:line="240" w:lineRule="auto"/>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Giá trị tài sản ròng (NAV) của Quỹ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63BC0D" w14:textId="1C9CF53E" w:rsidR="00067968" w:rsidRPr="00360AD3" w:rsidRDefault="00067968" w:rsidP="00067968">
            <w:pPr>
              <w:spacing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 xml:space="preserve"> 155,356,470,595 </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3D323DF4" w14:textId="4C791241" w:rsidR="00067968" w:rsidRPr="00360AD3" w:rsidRDefault="00067968" w:rsidP="00067968">
            <w:pPr>
              <w:spacing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 xml:space="preserve"> 102,601,036,261 </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4B7F7D9A" w14:textId="5BBE336F" w:rsidR="00067968" w:rsidRPr="00360AD3" w:rsidRDefault="00067968" w:rsidP="00067968">
            <w:pPr>
              <w:spacing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51.42%</w:t>
            </w:r>
          </w:p>
        </w:tc>
      </w:tr>
      <w:tr w:rsidR="00067968" w:rsidRPr="00A90AB7" w14:paraId="7A8F7091" w14:textId="77777777" w:rsidTr="0098532D">
        <w:trPr>
          <w:trHeight w:val="315"/>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63EAEC3F" w14:textId="71CC8CA7" w:rsidR="00067968" w:rsidRPr="00360AD3" w:rsidRDefault="00067968" w:rsidP="00067968">
            <w:pPr>
              <w:spacing w:after="0" w:line="240" w:lineRule="auto"/>
              <w:rPr>
                <w:rFonts w:ascii="Times New Roman" w:eastAsia="Times New Roman" w:hAnsi="Times New Roman"/>
                <w:sz w:val="24"/>
                <w:szCs w:val="24"/>
                <w:lang w:val="nl-NL"/>
              </w:rPr>
            </w:pPr>
            <w:r w:rsidRPr="00360AD3">
              <w:rPr>
                <w:rFonts w:ascii="Times New Roman" w:eastAsia="Times New Roman" w:hAnsi="Times New Roman"/>
                <w:sz w:val="24"/>
                <w:szCs w:val="24"/>
                <w:lang w:val="nl-NL"/>
              </w:rPr>
              <w:t>Giá trị tài sản ròng (NAV) trên 1 đơn vị CCQ</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6762585" w14:textId="2AC811C7" w:rsidR="00067968" w:rsidRPr="00360AD3" w:rsidRDefault="00067968" w:rsidP="00067968">
            <w:pPr>
              <w:spacing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 xml:space="preserve"> 16,422.82   </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3D8A4A17" w14:textId="585EBAB6" w:rsidR="00067968" w:rsidRPr="00360AD3" w:rsidRDefault="00067968" w:rsidP="00067968">
            <w:pPr>
              <w:spacing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 xml:space="preserve"> 12,627.67   </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D4927F9" w14:textId="452DB388" w:rsidR="00067968" w:rsidRPr="00360AD3" w:rsidRDefault="00067968" w:rsidP="00067968">
            <w:pPr>
              <w:spacing w:after="0" w:line="240" w:lineRule="auto"/>
              <w:jc w:val="center"/>
              <w:rPr>
                <w:rFonts w:ascii="Times New Roman" w:eastAsia="Times New Roman" w:hAnsi="Times New Roman"/>
                <w:sz w:val="24"/>
                <w:szCs w:val="24"/>
                <w:lang w:val="nl-NL"/>
              </w:rPr>
            </w:pPr>
            <w:r w:rsidRPr="00067968">
              <w:rPr>
                <w:rFonts w:ascii="Times New Roman" w:eastAsia="Times New Roman" w:hAnsi="Times New Roman"/>
                <w:sz w:val="24"/>
                <w:szCs w:val="24"/>
                <w:lang w:val="nl-NL"/>
              </w:rPr>
              <w:t>30.05%</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81C49">
        <w:rPr>
          <w:rFonts w:ascii="Times New Roman" w:hAnsi="Times New Roman"/>
          <w:b/>
          <w:sz w:val="24"/>
          <w:szCs w:val="24"/>
          <w:lang w:val="nl-NL"/>
        </w:rPr>
        <w:t xml:space="preserve">4.2. Thống kê về Nhà đầu tư nắm giữ Chứng chỉ </w:t>
      </w:r>
      <w:r w:rsidR="008F2B2D" w:rsidRPr="00181C49">
        <w:rPr>
          <w:rFonts w:ascii="Times New Roman" w:hAnsi="Times New Roman"/>
          <w:b/>
          <w:sz w:val="24"/>
          <w:szCs w:val="24"/>
          <w:lang w:val="nl-NL"/>
        </w:rPr>
        <w:t>Q</w:t>
      </w:r>
      <w:r w:rsidRPr="00181C49">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5C58DA" w:rsidRPr="00A90AB7" w14:paraId="220BA4D7" w14:textId="77777777" w:rsidTr="007104D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5C58DA" w:rsidRPr="00A90AB7" w:rsidRDefault="005C58DA" w:rsidP="005C58DA">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tcPr>
          <w:p w14:paraId="10C214F5" w14:textId="7D27D911" w:rsidR="005C58DA" w:rsidRPr="00A90AB7" w:rsidRDefault="005C58DA" w:rsidP="005C58DA">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0AAC842" w14:textId="7CBF52B0" w:rsidR="005C58DA" w:rsidRPr="00A90AB7" w:rsidRDefault="005C58DA" w:rsidP="005C58DA">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tcPr>
          <w:p w14:paraId="32D149DE" w14:textId="52D43155" w:rsidR="005C58DA" w:rsidRPr="00A90AB7" w:rsidRDefault="005C58DA" w:rsidP="005C58DA">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5146DD" w:rsidRPr="00A90AB7" w14:paraId="5AC8833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5146DD" w:rsidRPr="00A90AB7" w:rsidRDefault="005146DD" w:rsidP="005146D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68FF0918"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926</w:t>
            </w:r>
          </w:p>
        </w:tc>
        <w:tc>
          <w:tcPr>
            <w:tcW w:w="2692" w:type="dxa"/>
            <w:tcBorders>
              <w:top w:val="nil"/>
              <w:left w:val="nil"/>
              <w:bottom w:val="single" w:sz="8" w:space="0" w:color="auto"/>
              <w:right w:val="single" w:sz="8" w:space="0" w:color="auto"/>
            </w:tcBorders>
            <w:shd w:val="clear" w:color="auto" w:fill="auto"/>
          </w:tcPr>
          <w:p w14:paraId="0EBE36E9" w14:textId="1B0CDA8D"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942,027.47</w:t>
            </w:r>
          </w:p>
        </w:tc>
        <w:tc>
          <w:tcPr>
            <w:tcW w:w="1696" w:type="dxa"/>
            <w:tcBorders>
              <w:top w:val="nil"/>
              <w:left w:val="nil"/>
              <w:bottom w:val="single" w:sz="8" w:space="0" w:color="auto"/>
              <w:right w:val="single" w:sz="8" w:space="0" w:color="auto"/>
            </w:tcBorders>
            <w:shd w:val="clear" w:color="auto" w:fill="auto"/>
          </w:tcPr>
          <w:p w14:paraId="324D4E7B" w14:textId="57291E3A"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9.96%</w:t>
            </w:r>
          </w:p>
        </w:tc>
      </w:tr>
      <w:tr w:rsidR="005146DD" w:rsidRPr="00A90AB7" w14:paraId="112DFD1E"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5146DD" w:rsidRPr="00A90AB7" w:rsidRDefault="005146DD" w:rsidP="005146D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tcPr>
          <w:p w14:paraId="523D61E2" w14:textId="5F796A17"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45</w:t>
            </w:r>
          </w:p>
        </w:tc>
        <w:tc>
          <w:tcPr>
            <w:tcW w:w="2692" w:type="dxa"/>
            <w:tcBorders>
              <w:top w:val="nil"/>
              <w:left w:val="nil"/>
              <w:bottom w:val="single" w:sz="8" w:space="0" w:color="auto"/>
              <w:right w:val="single" w:sz="8" w:space="0" w:color="auto"/>
            </w:tcBorders>
            <w:shd w:val="clear" w:color="auto" w:fill="auto"/>
          </w:tcPr>
          <w:p w14:paraId="17E0FA6A" w14:textId="4FE7D816"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304,467.45</w:t>
            </w:r>
          </w:p>
        </w:tc>
        <w:tc>
          <w:tcPr>
            <w:tcW w:w="1696" w:type="dxa"/>
            <w:tcBorders>
              <w:top w:val="nil"/>
              <w:left w:val="nil"/>
              <w:bottom w:val="single" w:sz="8" w:space="0" w:color="auto"/>
              <w:right w:val="single" w:sz="8" w:space="0" w:color="auto"/>
            </w:tcBorders>
            <w:shd w:val="clear" w:color="auto" w:fill="auto"/>
          </w:tcPr>
          <w:p w14:paraId="2CF369C9" w14:textId="0C5994C5"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3.22%</w:t>
            </w:r>
          </w:p>
        </w:tc>
      </w:tr>
      <w:tr w:rsidR="005146DD" w:rsidRPr="00A90AB7" w14:paraId="33F2F3B6"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5146DD" w:rsidRPr="00A90AB7" w:rsidRDefault="005146DD" w:rsidP="005146D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63ACF5B3"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42</w:t>
            </w:r>
          </w:p>
        </w:tc>
        <w:tc>
          <w:tcPr>
            <w:tcW w:w="2692" w:type="dxa"/>
            <w:tcBorders>
              <w:top w:val="nil"/>
              <w:left w:val="nil"/>
              <w:bottom w:val="single" w:sz="8" w:space="0" w:color="auto"/>
              <w:right w:val="single" w:sz="8" w:space="0" w:color="auto"/>
            </w:tcBorders>
            <w:shd w:val="clear" w:color="auto" w:fill="auto"/>
          </w:tcPr>
          <w:p w14:paraId="7E76C849" w14:textId="7D5AAD57"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752,978.81</w:t>
            </w:r>
          </w:p>
        </w:tc>
        <w:tc>
          <w:tcPr>
            <w:tcW w:w="1696" w:type="dxa"/>
            <w:tcBorders>
              <w:top w:val="nil"/>
              <w:left w:val="nil"/>
              <w:bottom w:val="single" w:sz="8" w:space="0" w:color="auto"/>
              <w:right w:val="single" w:sz="8" w:space="0" w:color="auto"/>
            </w:tcBorders>
            <w:shd w:val="clear" w:color="auto" w:fill="auto"/>
          </w:tcPr>
          <w:p w14:paraId="2DEE8F0F" w14:textId="1AB8D03A"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7.96%</w:t>
            </w:r>
          </w:p>
        </w:tc>
      </w:tr>
      <w:tr w:rsidR="005146DD" w:rsidRPr="00A90AB7" w14:paraId="53AAF433"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5146DD" w:rsidRPr="00A90AB7" w:rsidRDefault="005146DD" w:rsidP="005146D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62BA28D6" w14:textId="3F191105"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5</w:t>
            </w:r>
          </w:p>
        </w:tc>
        <w:tc>
          <w:tcPr>
            <w:tcW w:w="2692" w:type="dxa"/>
            <w:tcBorders>
              <w:top w:val="nil"/>
              <w:left w:val="nil"/>
              <w:bottom w:val="single" w:sz="8" w:space="0" w:color="auto"/>
              <w:right w:val="single" w:sz="8" w:space="0" w:color="auto"/>
            </w:tcBorders>
            <w:shd w:val="clear" w:color="auto" w:fill="auto"/>
          </w:tcPr>
          <w:p w14:paraId="1ABD868A" w14:textId="3FAEBF63"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460,315.72</w:t>
            </w:r>
          </w:p>
        </w:tc>
        <w:tc>
          <w:tcPr>
            <w:tcW w:w="1696" w:type="dxa"/>
            <w:tcBorders>
              <w:top w:val="nil"/>
              <w:left w:val="nil"/>
              <w:bottom w:val="single" w:sz="8" w:space="0" w:color="auto"/>
              <w:right w:val="single" w:sz="8" w:space="0" w:color="auto"/>
            </w:tcBorders>
            <w:shd w:val="clear" w:color="auto" w:fill="auto"/>
          </w:tcPr>
          <w:p w14:paraId="73DF2C14" w14:textId="2DF11940"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4.87%</w:t>
            </w:r>
          </w:p>
        </w:tc>
      </w:tr>
      <w:tr w:rsidR="005146DD" w:rsidRPr="00A90AB7" w14:paraId="656817C8"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5146DD" w:rsidRPr="00A90AB7" w:rsidRDefault="005146DD" w:rsidP="005146DD">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15626F64"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7C57F936"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7,000,000.00</w:t>
            </w:r>
          </w:p>
        </w:tc>
        <w:tc>
          <w:tcPr>
            <w:tcW w:w="1696" w:type="dxa"/>
            <w:tcBorders>
              <w:top w:val="nil"/>
              <w:left w:val="nil"/>
              <w:bottom w:val="single" w:sz="8" w:space="0" w:color="auto"/>
              <w:right w:val="single" w:sz="8" w:space="0" w:color="auto"/>
            </w:tcBorders>
            <w:shd w:val="clear" w:color="auto" w:fill="auto"/>
          </w:tcPr>
          <w:p w14:paraId="28BFE95B" w14:textId="56007B0F" w:rsidR="005146DD" w:rsidRPr="005E77D1" w:rsidRDefault="005146DD" w:rsidP="005146DD">
            <w:pPr>
              <w:spacing w:after="0" w:line="240" w:lineRule="auto"/>
              <w:jc w:val="center"/>
              <w:rPr>
                <w:rFonts w:ascii="Times New Roman" w:eastAsia="Times New Roman" w:hAnsi="Times New Roman"/>
                <w:iCs/>
                <w:sz w:val="24"/>
                <w:szCs w:val="24"/>
              </w:rPr>
            </w:pPr>
            <w:r w:rsidRPr="00616F66">
              <w:rPr>
                <w:rFonts w:ascii="Times New Roman" w:hAnsi="Times New Roman"/>
                <w:sz w:val="24"/>
                <w:szCs w:val="24"/>
              </w:rPr>
              <w:t>74.00%</w:t>
            </w:r>
          </w:p>
        </w:tc>
      </w:tr>
      <w:tr w:rsidR="005146DD" w:rsidRPr="00A90AB7" w14:paraId="7A11D66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5146DD" w:rsidRPr="00A90AB7" w:rsidRDefault="005146DD" w:rsidP="005146DD">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376E098E" w:rsidR="005146DD" w:rsidRPr="005E77D1" w:rsidRDefault="005146DD" w:rsidP="005146DD">
            <w:pPr>
              <w:spacing w:after="0" w:line="240" w:lineRule="auto"/>
              <w:jc w:val="center"/>
              <w:rPr>
                <w:rFonts w:ascii="Times New Roman" w:eastAsia="Times New Roman" w:hAnsi="Times New Roman"/>
                <w:b/>
                <w:bCs/>
                <w:iCs/>
                <w:sz w:val="24"/>
                <w:szCs w:val="24"/>
              </w:rPr>
            </w:pPr>
            <w:r w:rsidRPr="00616F66">
              <w:rPr>
                <w:rFonts w:ascii="Times New Roman" w:hAnsi="Times New Roman"/>
                <w:b/>
                <w:bCs/>
                <w:sz w:val="24"/>
                <w:szCs w:val="24"/>
              </w:rPr>
              <w:t>1</w:t>
            </w:r>
            <w:r w:rsidR="00181C49">
              <w:rPr>
                <w:rFonts w:ascii="Times New Roman" w:hAnsi="Times New Roman"/>
                <w:b/>
                <w:bCs/>
                <w:sz w:val="24"/>
                <w:szCs w:val="24"/>
              </w:rPr>
              <w:t>,</w:t>
            </w:r>
            <w:r w:rsidRPr="00616F66">
              <w:rPr>
                <w:rFonts w:ascii="Times New Roman" w:hAnsi="Times New Roman"/>
                <w:b/>
                <w:bCs/>
                <w:sz w:val="24"/>
                <w:szCs w:val="24"/>
              </w:rPr>
              <w:t>019</w:t>
            </w:r>
          </w:p>
        </w:tc>
        <w:tc>
          <w:tcPr>
            <w:tcW w:w="2692" w:type="dxa"/>
            <w:tcBorders>
              <w:top w:val="nil"/>
              <w:left w:val="nil"/>
              <w:bottom w:val="single" w:sz="8" w:space="0" w:color="auto"/>
              <w:right w:val="single" w:sz="8" w:space="0" w:color="auto"/>
            </w:tcBorders>
            <w:shd w:val="clear" w:color="auto" w:fill="auto"/>
          </w:tcPr>
          <w:p w14:paraId="270549B9" w14:textId="2A309F94" w:rsidR="005146DD" w:rsidRPr="005E77D1" w:rsidRDefault="005146DD" w:rsidP="005146DD">
            <w:pPr>
              <w:spacing w:after="0" w:line="240" w:lineRule="auto"/>
              <w:jc w:val="center"/>
              <w:rPr>
                <w:rFonts w:ascii="Times New Roman" w:eastAsia="Times New Roman" w:hAnsi="Times New Roman"/>
                <w:b/>
                <w:bCs/>
                <w:iCs/>
                <w:sz w:val="24"/>
                <w:szCs w:val="24"/>
              </w:rPr>
            </w:pPr>
            <w:r w:rsidRPr="00616F66">
              <w:rPr>
                <w:rFonts w:ascii="Times New Roman" w:hAnsi="Times New Roman"/>
                <w:b/>
                <w:bCs/>
                <w:sz w:val="24"/>
                <w:szCs w:val="24"/>
              </w:rPr>
              <w:t xml:space="preserve"> 9,459,789.45 </w:t>
            </w:r>
          </w:p>
        </w:tc>
        <w:tc>
          <w:tcPr>
            <w:tcW w:w="1696" w:type="dxa"/>
            <w:tcBorders>
              <w:top w:val="nil"/>
              <w:left w:val="nil"/>
              <w:bottom w:val="single" w:sz="8" w:space="0" w:color="auto"/>
              <w:right w:val="single" w:sz="8" w:space="0" w:color="auto"/>
            </w:tcBorders>
            <w:shd w:val="clear" w:color="auto" w:fill="auto"/>
          </w:tcPr>
          <w:p w14:paraId="10E9F2BC" w14:textId="4F271D1C" w:rsidR="005146DD" w:rsidRPr="005E77D1" w:rsidRDefault="005146DD" w:rsidP="005146DD">
            <w:pPr>
              <w:spacing w:after="0" w:line="240" w:lineRule="auto"/>
              <w:jc w:val="center"/>
              <w:rPr>
                <w:rFonts w:ascii="Times New Roman" w:eastAsia="Times New Roman" w:hAnsi="Times New Roman"/>
                <w:b/>
                <w:bCs/>
                <w:iCs/>
                <w:sz w:val="24"/>
                <w:szCs w:val="24"/>
              </w:rPr>
            </w:pPr>
            <w:r w:rsidRPr="00616F66">
              <w:rPr>
                <w:rFonts w:ascii="Times New Roman" w:hAnsi="Times New Roman"/>
                <w:b/>
                <w:bCs/>
                <w:sz w:val="24"/>
                <w:szCs w:val="24"/>
              </w:rPr>
              <w:t>100.00%</w:t>
            </w:r>
          </w:p>
        </w:tc>
      </w:tr>
    </w:tbl>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181C49"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81C49">
        <w:rPr>
          <w:rFonts w:ascii="Times New Roman" w:hAnsi="Times New Roman"/>
          <w:b/>
          <w:sz w:val="24"/>
          <w:szCs w:val="24"/>
          <w:lang w:val="nl-NL"/>
        </w:rPr>
        <w:lastRenderedPageBreak/>
        <w:t>V. Thông tin về triển vọng thị trường</w:t>
      </w:r>
    </w:p>
    <w:p w14:paraId="64367EEA" w14:textId="77777777" w:rsidR="005146DD" w:rsidRPr="00A90AB7" w:rsidRDefault="005146DD" w:rsidP="005146DD">
      <w:pPr>
        <w:shd w:val="clear" w:color="auto" w:fill="FFFFFF"/>
        <w:tabs>
          <w:tab w:val="left" w:pos="540"/>
        </w:tabs>
        <w:spacing w:before="120" w:after="0" w:line="240" w:lineRule="auto"/>
        <w:jc w:val="both"/>
        <w:rPr>
          <w:rFonts w:ascii="Times New Roman" w:hAnsi="Times New Roman"/>
          <w:sz w:val="24"/>
          <w:szCs w:val="24"/>
          <w:lang w:val="nl-NL"/>
        </w:rPr>
      </w:pPr>
      <w:r w:rsidRPr="00181C49">
        <w:rPr>
          <w:rFonts w:ascii="Times New Roman" w:hAnsi="Times New Roman"/>
          <w:sz w:val="24"/>
          <w:szCs w:val="24"/>
          <w:lang w:val="nl-NL"/>
        </w:rPr>
        <w:t>Biểu đồ bên dưới thể hiện diễn biến chỉ số</w:t>
      </w:r>
      <w:r w:rsidRPr="00A90AB7">
        <w:rPr>
          <w:rFonts w:ascii="Times New Roman" w:hAnsi="Times New Roman"/>
          <w:sz w:val="24"/>
          <w:szCs w:val="24"/>
          <w:lang w:val="nl-NL"/>
        </w:rPr>
        <w:t xml:space="preserve"> VN-index (dây màu xanh</w:t>
      </w:r>
      <w:r>
        <w:rPr>
          <w:rFonts w:ascii="Times New Roman" w:hAnsi="Times New Roman"/>
          <w:sz w:val="24"/>
          <w:szCs w:val="24"/>
          <w:lang w:val="nl-NL"/>
        </w:rPr>
        <w:t>, chiếu qua trục bên phải</w:t>
      </w:r>
      <w:r w:rsidRPr="00A90AB7">
        <w:rPr>
          <w:rFonts w:ascii="Times New Roman" w:hAnsi="Times New Roman"/>
          <w:sz w:val="24"/>
          <w:szCs w:val="24"/>
          <w:lang w:val="nl-NL"/>
        </w:rPr>
        <w:t>) và giá trị giao dịch (cột màu đỏ</w:t>
      </w:r>
      <w:r>
        <w:rPr>
          <w:rFonts w:ascii="Times New Roman" w:hAnsi="Times New Roman"/>
          <w:sz w:val="24"/>
          <w:szCs w:val="24"/>
          <w:lang w:val="nl-NL"/>
        </w:rPr>
        <w:t>, chiếu qua trục bên trái, đơn vị: tỷ đồng/ ngày</w:t>
      </w:r>
      <w:r w:rsidRPr="00A90AB7">
        <w:rPr>
          <w:rFonts w:ascii="Times New Roman" w:hAnsi="Times New Roman"/>
          <w:sz w:val="24"/>
          <w:szCs w:val="24"/>
          <w:lang w:val="nl-NL"/>
        </w:rPr>
        <w:t>)</w:t>
      </w:r>
    </w:p>
    <w:p w14:paraId="19AFB798" w14:textId="77777777" w:rsidR="005146DD" w:rsidRPr="00315A8E" w:rsidRDefault="005146DD" w:rsidP="005146DD">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56555C">
        <w:rPr>
          <w:noProof/>
        </w:rPr>
        <w:drawing>
          <wp:inline distT="0" distB="0" distL="0" distR="0" wp14:anchorId="3DEF715C" wp14:editId="1C234462">
            <wp:extent cx="5942502" cy="355518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502" cy="3555187"/>
                    </a:xfrm>
                    <a:prstGeom prst="rect">
                      <a:avLst/>
                    </a:prstGeom>
                    <a:noFill/>
                    <a:ln>
                      <a:noFill/>
                    </a:ln>
                  </pic:spPr>
                </pic:pic>
              </a:graphicData>
            </a:graphic>
          </wp:inline>
        </w:drawing>
      </w:r>
    </w:p>
    <w:p w14:paraId="0522FADE" w14:textId="77777777" w:rsidR="005146DD" w:rsidRDefault="005146DD" w:rsidP="005146DD">
      <w:pPr>
        <w:shd w:val="clear" w:color="auto" w:fill="FFFFFF"/>
        <w:tabs>
          <w:tab w:val="left" w:pos="540"/>
        </w:tabs>
        <w:spacing w:before="120" w:after="0" w:line="240" w:lineRule="auto"/>
        <w:ind w:firstLine="540"/>
        <w:jc w:val="both"/>
        <w:rPr>
          <w:rFonts w:ascii="Times New Roman" w:hAnsi="Times New Roman"/>
          <w:sz w:val="24"/>
          <w:szCs w:val="24"/>
          <w:lang w:val="nl-NL"/>
        </w:rPr>
      </w:pPr>
      <w:r>
        <w:rPr>
          <w:rFonts w:ascii="Times New Roman" w:hAnsi="Times New Roman"/>
          <w:sz w:val="24"/>
          <w:szCs w:val="24"/>
          <w:lang w:val="nl-NL"/>
        </w:rPr>
        <w:tab/>
        <w:t xml:space="preserve">Kỳ vọng của nhà đầu tư cá nhân trong Quý 4 năm 2021 vào thị trường tăng cao sau khi hầu hết các tỉnh thành trọng điểm kinh tế phía Nam như TP. HCM, Bình Dương, Đồng Nai... đều được tái mở cửa trở lại, cùng với  thông tin bên lề về gói hỗ trợ phục hồi kinh tế được trình Quốc hội thông qua vào đầu năm 2022 bao gồm gói hỗ trợ lãi vay cho doanh nghiệp, gói ngân sách cho đầu tư công đã được phản ánh vào thị trường. Thị trường chứng khoán Việt Nam đã ghi nhận các đỉnh cao về điểm số và thanh khoản trong Quý 4 năm 2021. </w:t>
      </w:r>
      <w:r w:rsidRPr="00F14111">
        <w:rPr>
          <w:rFonts w:ascii="Times New Roman" w:hAnsi="Times New Roman"/>
          <w:sz w:val="24"/>
          <w:szCs w:val="24"/>
          <w:lang w:val="nl-NL"/>
        </w:rPr>
        <w:t xml:space="preserve">Dữ liệu thị trường chứng khoán cho thấy </w:t>
      </w:r>
      <w:r>
        <w:rPr>
          <w:rFonts w:ascii="Times New Roman" w:hAnsi="Times New Roman"/>
          <w:sz w:val="24"/>
          <w:szCs w:val="24"/>
          <w:lang w:val="nl-NL"/>
        </w:rPr>
        <w:t xml:space="preserve">VN-index đóng cửa ngày 31/12/2021 tại mức cao nhất lịch sử 1498 điểm, </w:t>
      </w:r>
      <w:proofErr w:type="spellStart"/>
      <w:r>
        <w:rPr>
          <w:rFonts w:ascii="Times New Roman" w:hAnsi="Times New Roman"/>
          <w:sz w:val="24"/>
          <w:szCs w:val="24"/>
        </w:rPr>
        <w:t>tăng</w:t>
      </w:r>
      <w:proofErr w:type="spellEnd"/>
      <w:r>
        <w:rPr>
          <w:rFonts w:ascii="Times New Roman" w:hAnsi="Times New Roman"/>
          <w:sz w:val="24"/>
          <w:szCs w:val="24"/>
        </w:rPr>
        <w:t xml:space="preserve"> 11.63</w:t>
      </w:r>
      <w:r w:rsidRPr="006E2436">
        <w:rPr>
          <w:rFonts w:ascii="Times New Roman" w:hAnsi="Times New Roman"/>
          <w:sz w:val="24"/>
          <w:szCs w:val="24"/>
        </w:rPr>
        <w:t xml:space="preserve">% so </w:t>
      </w:r>
      <w:proofErr w:type="spellStart"/>
      <w:r w:rsidRPr="006E2436">
        <w:rPr>
          <w:rFonts w:ascii="Times New Roman" w:hAnsi="Times New Roman"/>
          <w:sz w:val="24"/>
          <w:szCs w:val="24"/>
        </w:rPr>
        <w:t>với</w:t>
      </w:r>
      <w:proofErr w:type="spellEnd"/>
      <w:r w:rsidRPr="006E2436">
        <w:rPr>
          <w:rFonts w:ascii="Times New Roman" w:hAnsi="Times New Roman"/>
          <w:sz w:val="24"/>
          <w:szCs w:val="24"/>
        </w:rPr>
        <w:t xml:space="preserve"> </w:t>
      </w:r>
      <w:proofErr w:type="spellStart"/>
      <w:r w:rsidRPr="006E2436">
        <w:rPr>
          <w:rFonts w:ascii="Times New Roman" w:hAnsi="Times New Roman"/>
          <w:sz w:val="24"/>
          <w:szCs w:val="24"/>
        </w:rPr>
        <w:t>ngày</w:t>
      </w:r>
      <w:proofErr w:type="spellEnd"/>
      <w:r w:rsidRPr="006E2436">
        <w:rPr>
          <w:rFonts w:ascii="Times New Roman" w:hAnsi="Times New Roman"/>
          <w:sz w:val="24"/>
          <w:szCs w:val="24"/>
        </w:rPr>
        <w:t xml:space="preserve"> 30/0</w:t>
      </w:r>
      <w:r>
        <w:rPr>
          <w:rFonts w:ascii="Times New Roman" w:hAnsi="Times New Roman"/>
          <w:sz w:val="24"/>
          <w:szCs w:val="24"/>
        </w:rPr>
        <w:t>9</w:t>
      </w:r>
      <w:r w:rsidRPr="006E2436">
        <w:rPr>
          <w:rFonts w:ascii="Times New Roman" w:hAnsi="Times New Roman"/>
          <w:sz w:val="24"/>
          <w:szCs w:val="24"/>
        </w:rPr>
        <w:t>/2021</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35.7%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w:t>
      </w:r>
      <w:r>
        <w:rPr>
          <w:rFonts w:ascii="Times New Roman" w:hAnsi="Times New Roman"/>
          <w:sz w:val="24"/>
          <w:szCs w:val="24"/>
          <w:lang w:val="nl-NL"/>
        </w:rPr>
        <w:t>. Thanh khoản của thị trường chứng khoán vẫn được duy trì ở mức cao, đứng thứ hai trong khu vực Đông Nam Á chỉ sau Thái Lan với giá trị giao dịch trung bình là 1.27 tỷ USD trên một phiên giao dịch (số liệu đến 12/12/2021). Hệ thống giao dịch của HOSE đã khắc phục hoàn toàn sự cố nghẽn lệnh và hỗ trợ cho mức thanh khoản giao dịch kỷ lục này. Mặc dù vậy tình trạng bán ròng của nhà đầu tư nước ngoài vẫn tiếp diễn, do đó động lực tăng trưởng của thị trường trong giai đoạn này là từ dòng vốn trong nước của các nhà đầu tư cá nhân</w:t>
      </w:r>
      <w:r w:rsidRPr="00F14111">
        <w:rPr>
          <w:rFonts w:ascii="Times New Roman" w:hAnsi="Times New Roman"/>
          <w:sz w:val="24"/>
          <w:szCs w:val="24"/>
          <w:lang w:val="nl-NL"/>
        </w:rPr>
        <w:t>.</w:t>
      </w:r>
      <w:r>
        <w:rPr>
          <w:rFonts w:ascii="Times New Roman" w:hAnsi="Times New Roman"/>
          <w:sz w:val="24"/>
          <w:szCs w:val="24"/>
          <w:lang w:val="nl-NL"/>
        </w:rPr>
        <w:t xml:space="preserve"> Đối với dòng vốn ngoại đầu tư tham gia vào thị trường Việt Nam thông qua các quỹ ETF tiếp tục kém tích cực hơn so với Quý 3.</w:t>
      </w:r>
      <w:r w:rsidRPr="00F14111">
        <w:rPr>
          <w:rFonts w:ascii="Times New Roman" w:hAnsi="Times New Roman"/>
          <w:sz w:val="24"/>
          <w:szCs w:val="24"/>
          <w:lang w:val="nl-NL"/>
        </w:rPr>
        <w:t xml:space="preserve"> </w:t>
      </w:r>
      <w:r>
        <w:rPr>
          <w:rFonts w:ascii="Times New Roman" w:hAnsi="Times New Roman"/>
          <w:sz w:val="24"/>
          <w:szCs w:val="24"/>
          <w:lang w:val="nl-NL"/>
        </w:rPr>
        <w:t>Mặc dù Chính Phủ đã thống nhất mở cửa trở lại kinh tế sau khi đã dần kiểm soát thành công làn sóng dịch Covid lần thứ 4 từ Quý 4 năm 2021 nhưng nhiều khó khăn trước mắt vẫn còn đó như thiếu hụt lao động, giá cả đầu vào tăng cao, vừa mở cửa kinh tế vừa đảm bảo an toàn dịch bệnh, kêu gọi đưa các đơn hàng xuất khẩu, đối tác ngoại quay lại sau khi đã có những dấu hiệu dịch chuyển ra khỏi Việt Nam trong Quý 3</w:t>
      </w:r>
      <w:r w:rsidRPr="00AC0CD0">
        <w:rPr>
          <w:rFonts w:ascii="Times New Roman" w:hAnsi="Times New Roman"/>
          <w:sz w:val="24"/>
          <w:szCs w:val="24"/>
          <w:lang w:val="nl-NL"/>
        </w:rPr>
        <w:t xml:space="preserve">. </w:t>
      </w:r>
    </w:p>
    <w:p w14:paraId="29FED66A" w14:textId="77777777" w:rsidR="005146DD" w:rsidRPr="00F14111" w:rsidRDefault="005146DD" w:rsidP="005146DD">
      <w:pPr>
        <w:shd w:val="clear" w:color="auto" w:fill="FFFFFF"/>
        <w:tabs>
          <w:tab w:val="left" w:pos="540"/>
        </w:tabs>
        <w:spacing w:before="120" w:after="0" w:line="240" w:lineRule="auto"/>
        <w:ind w:firstLine="540"/>
        <w:jc w:val="both"/>
        <w:rPr>
          <w:rFonts w:ascii="Times New Roman" w:hAnsi="Times New Roman"/>
          <w:sz w:val="24"/>
          <w:szCs w:val="24"/>
          <w:lang w:val="nl-NL"/>
        </w:rPr>
      </w:pPr>
      <w:r w:rsidRPr="00AC0CD0">
        <w:rPr>
          <w:rFonts w:ascii="Times New Roman" w:hAnsi="Times New Roman"/>
          <w:sz w:val="24"/>
          <w:szCs w:val="24"/>
          <w:lang w:val="nl-NL"/>
        </w:rPr>
        <w:t xml:space="preserve">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qua đi, </w:t>
      </w:r>
      <w:r>
        <w:rPr>
          <w:rFonts w:ascii="Times New Roman" w:hAnsi="Times New Roman"/>
          <w:sz w:val="24"/>
          <w:szCs w:val="24"/>
          <w:lang w:val="nl-NL"/>
        </w:rPr>
        <w:t>nền kinh tế được mở cửa lại hoàn toàn</w:t>
      </w:r>
      <w:r w:rsidRPr="00AC0CD0">
        <w:rPr>
          <w:rFonts w:ascii="Times New Roman" w:hAnsi="Times New Roman"/>
          <w:sz w:val="24"/>
          <w:szCs w:val="24"/>
          <w:lang w:val="nl-NL"/>
        </w:rPr>
        <w:t xml:space="preserve">, hoạt động của doanh nghiệp hồi </w:t>
      </w:r>
      <w:r w:rsidRPr="00AC0CD0">
        <w:rPr>
          <w:rFonts w:ascii="Times New Roman" w:hAnsi="Times New Roman"/>
          <w:sz w:val="24"/>
          <w:szCs w:val="24"/>
          <w:lang w:val="nl-NL"/>
        </w:rPr>
        <w:lastRenderedPageBreak/>
        <w:t>phục và tăng trưởng trở lại, nhiều giải pháp được Chính Phủ nhiệm kỳ mới thực thi, niềm tin của nhà đầu tư trở lại thì thị trường chứng khoán sẽ tiếp tục phục hồi và tăng trưởng trong dài hạn</w:t>
      </w:r>
      <w:r>
        <w:rPr>
          <w:rFonts w:ascii="Times New Roman" w:hAnsi="Times New Roman"/>
          <w:sz w:val="24"/>
          <w:szCs w:val="24"/>
          <w:lang w:val="nl-NL"/>
        </w:rPr>
        <w:t>. Các tổ chức quốc tế đều cho rằng từ năm 2022 nền kinh tế Việt Nam sẽ hồi phục dần và tăng trưởng ổn định trong các năm tiếp theo. Trong trung dài hạn t</w:t>
      </w:r>
      <w:r w:rsidRPr="00F14111">
        <w:rPr>
          <w:rFonts w:ascii="Times New Roman" w:hAnsi="Times New Roman"/>
          <w:sz w:val="24"/>
          <w:szCs w:val="24"/>
          <w:lang w:val="nl-NL"/>
        </w:rPr>
        <w:t>hị trường Chứng khoán Việt Nam</w:t>
      </w:r>
      <w:r>
        <w:rPr>
          <w:rFonts w:ascii="Times New Roman" w:hAnsi="Times New Roman"/>
          <w:sz w:val="24"/>
          <w:szCs w:val="24"/>
          <w:lang w:val="nl-NL"/>
        </w:rPr>
        <w:t xml:space="preserve"> vẫn sẽ nhiều tiềm năng phát triển</w:t>
      </w:r>
      <w:r w:rsidRPr="00F14111">
        <w:rPr>
          <w:rFonts w:ascii="Times New Roman" w:hAnsi="Times New Roman"/>
          <w:sz w:val="24"/>
          <w:szCs w:val="24"/>
          <w:lang w:val="nl-NL"/>
        </w:rPr>
        <w:t xml:space="preserve"> </w:t>
      </w:r>
      <w:r>
        <w:rPr>
          <w:rFonts w:ascii="Times New Roman" w:hAnsi="Times New Roman"/>
          <w:sz w:val="24"/>
          <w:szCs w:val="24"/>
          <w:lang w:val="nl-NL"/>
        </w:rPr>
        <w:t>khi</w:t>
      </w:r>
      <w:r w:rsidRPr="00F14111">
        <w:rPr>
          <w:rFonts w:ascii="Times New Roman" w:hAnsi="Times New Roman"/>
          <w:sz w:val="24"/>
          <w:szCs w:val="24"/>
          <w:lang w:val="nl-NL"/>
        </w:rPr>
        <w:t>:</w:t>
      </w:r>
    </w:p>
    <w:p w14:paraId="30746A17" w14:textId="77777777" w:rsidR="005146DD" w:rsidRPr="00BF217F" w:rsidRDefault="005146DD" w:rsidP="005146DD">
      <w:pPr>
        <w:pStyle w:val="ListParagraph"/>
        <w:widowControl w:val="0"/>
        <w:numPr>
          <w:ilvl w:val="0"/>
          <w:numId w:val="9"/>
        </w:numPr>
        <w:spacing w:before="100" w:after="120" w:line="240" w:lineRule="auto"/>
        <w:ind w:left="432" w:hanging="432"/>
        <w:contextualSpacing w:val="0"/>
        <w:jc w:val="both"/>
        <w:rPr>
          <w:rFonts w:ascii="Times New Roman" w:hAnsi="Times New Roman"/>
          <w:sz w:val="24"/>
          <w:szCs w:val="24"/>
          <w:lang w:val="nl-NL"/>
        </w:rPr>
      </w:pPr>
      <w:r w:rsidRPr="00F14111">
        <w:rPr>
          <w:rFonts w:ascii="Times New Roman" w:hAnsi="Times New Roman"/>
          <w:sz w:val="24"/>
          <w:szCs w:val="24"/>
          <w:lang w:val="nl-NL"/>
        </w:rPr>
        <w:t>Với môi trường kinh tế vĩ mô: Việt Nam được đánh giá phát triển ổn định thể hiện qua các tiêu chí như tăng trưởng GDP</w:t>
      </w:r>
      <w:r>
        <w:rPr>
          <w:rFonts w:ascii="Times New Roman" w:hAnsi="Times New Roman"/>
          <w:sz w:val="24"/>
          <w:szCs w:val="24"/>
          <w:lang w:val="nl-NL"/>
        </w:rPr>
        <w:t xml:space="preserve"> sẽ trở lại sau dịch bệnh</w:t>
      </w:r>
      <w:r w:rsidRPr="00F14111">
        <w:rPr>
          <w:rFonts w:ascii="Times New Roman" w:hAnsi="Times New Roman"/>
          <w:sz w:val="24"/>
          <w:szCs w:val="24"/>
          <w:lang w:val="nl-NL"/>
        </w:rPr>
        <w:t>, lãi suất</w:t>
      </w:r>
      <w:r>
        <w:rPr>
          <w:rFonts w:ascii="Times New Roman" w:hAnsi="Times New Roman"/>
          <w:sz w:val="24"/>
          <w:szCs w:val="24"/>
          <w:lang w:val="nl-NL"/>
        </w:rPr>
        <w:t xml:space="preserve"> chưa có dấu hiệu tăng</w:t>
      </w:r>
      <w:r w:rsidRPr="00F14111">
        <w:rPr>
          <w:rFonts w:ascii="Times New Roman" w:hAnsi="Times New Roman"/>
          <w:sz w:val="24"/>
          <w:szCs w:val="24"/>
          <w:lang w:val="nl-NL"/>
        </w:rPr>
        <w:t>, lạm phát</w:t>
      </w:r>
      <w:r>
        <w:rPr>
          <w:rFonts w:ascii="Times New Roman" w:hAnsi="Times New Roman"/>
          <w:sz w:val="24"/>
          <w:szCs w:val="24"/>
          <w:lang w:val="nl-NL"/>
        </w:rPr>
        <w:t xml:space="preserve"> được kiểm soát ở mức thấp</w:t>
      </w:r>
      <w:r w:rsidRPr="00F14111">
        <w:rPr>
          <w:rFonts w:ascii="Times New Roman" w:hAnsi="Times New Roman"/>
          <w:sz w:val="24"/>
          <w:szCs w:val="24"/>
          <w:lang w:val="nl-NL"/>
        </w:rPr>
        <w:t>, tỷ giá</w:t>
      </w:r>
      <w:r>
        <w:rPr>
          <w:rFonts w:ascii="Times New Roman" w:hAnsi="Times New Roman"/>
          <w:sz w:val="24"/>
          <w:szCs w:val="24"/>
          <w:lang w:val="nl-NL"/>
        </w:rPr>
        <w:t xml:space="preserve"> dự báo tiếp tục ổn định</w:t>
      </w:r>
      <w:r w:rsidRPr="00F14111">
        <w:rPr>
          <w:rFonts w:ascii="Times New Roman" w:hAnsi="Times New Roman"/>
          <w:sz w:val="24"/>
          <w:szCs w:val="24"/>
          <w:lang w:val="nl-NL"/>
        </w:rPr>
        <w:t>, tình hình thu hút FDI</w:t>
      </w:r>
      <w:r>
        <w:rPr>
          <w:rFonts w:ascii="Times New Roman" w:hAnsi="Times New Roman"/>
          <w:sz w:val="24"/>
          <w:szCs w:val="24"/>
          <w:lang w:val="nl-NL"/>
        </w:rPr>
        <w:t xml:space="preserve"> vẫn được duy trì chưa có dấu hiệu tiêu cực</w:t>
      </w:r>
      <w:r w:rsidRPr="00F14111">
        <w:rPr>
          <w:rFonts w:ascii="Times New Roman" w:hAnsi="Times New Roman"/>
          <w:sz w:val="24"/>
          <w:szCs w:val="24"/>
          <w:lang w:val="nl-NL"/>
        </w:rPr>
        <w:t>,... Như vậy, nền kinh tế Việt Nam đang tiếp tục bước vào giai đoạn phát triển với một chu kỳ kinh tế mới</w:t>
      </w:r>
      <w:r>
        <w:rPr>
          <w:rFonts w:ascii="Times New Roman" w:hAnsi="Times New Roman"/>
          <w:sz w:val="24"/>
          <w:szCs w:val="24"/>
          <w:lang w:val="nl-NL"/>
        </w:rPr>
        <w:t xml:space="preserve"> cùng với nhiệm kỳ mới của Chính Phủ</w:t>
      </w:r>
      <w:r w:rsidRPr="00F14111">
        <w:rPr>
          <w:rFonts w:ascii="Times New Roman" w:hAnsi="Times New Roman"/>
          <w:sz w:val="24"/>
          <w:szCs w:val="24"/>
          <w:lang w:val="nl-NL"/>
        </w:rPr>
        <w:t>.</w:t>
      </w:r>
    </w:p>
    <w:p w14:paraId="7D16B610" w14:textId="77777777" w:rsidR="005146DD" w:rsidRPr="00F14111" w:rsidRDefault="005146DD" w:rsidP="005146DD">
      <w:pPr>
        <w:pStyle w:val="ListParagraph"/>
        <w:widowControl w:val="0"/>
        <w:numPr>
          <w:ilvl w:val="0"/>
          <w:numId w:val="9"/>
        </w:numPr>
        <w:spacing w:before="100" w:after="120" w:line="240" w:lineRule="auto"/>
        <w:ind w:left="432" w:hanging="432"/>
        <w:contextualSpacing w:val="0"/>
        <w:jc w:val="both"/>
        <w:rPr>
          <w:rFonts w:ascii="Times New Roman" w:hAnsi="Times New Roman"/>
          <w:sz w:val="24"/>
          <w:szCs w:val="24"/>
          <w:lang w:val="nl-NL"/>
        </w:rPr>
      </w:pPr>
      <w:r w:rsidRPr="00F14111">
        <w:rPr>
          <w:rFonts w:ascii="Times New Roman" w:hAnsi="Times New Roman"/>
          <w:sz w:val="24"/>
          <w:szCs w:val="24"/>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w:t>
      </w:r>
      <w:r>
        <w:rPr>
          <w:rFonts w:ascii="Times New Roman" w:hAnsi="Times New Roman"/>
          <w:sz w:val="24"/>
          <w:szCs w:val="24"/>
          <w:lang w:val="nl-NL"/>
        </w:rPr>
        <w:t>Tầng lớp trung lưu tăng lên và tham gia ngày càng nhiều vào thị trường chứng, thể hiện qua số tài khoản mở mới tăng mạnh trong 2 năm qua</w:t>
      </w:r>
      <w:r w:rsidRPr="00F14111">
        <w:rPr>
          <w:rFonts w:ascii="Times New Roman" w:hAnsi="Times New Roman"/>
          <w:sz w:val="24"/>
          <w:szCs w:val="24"/>
          <w:lang w:val="nl-NL"/>
        </w:rPr>
        <w:t>.</w:t>
      </w:r>
    </w:p>
    <w:p w14:paraId="6B538F7A" w14:textId="77777777" w:rsidR="005146DD" w:rsidRPr="00F14111" w:rsidRDefault="005146DD" w:rsidP="005146DD">
      <w:pPr>
        <w:widowControl w:val="0"/>
        <w:spacing w:before="100" w:after="120" w:line="240" w:lineRule="auto"/>
        <w:ind w:firstLine="432"/>
        <w:jc w:val="both"/>
        <w:rPr>
          <w:rFonts w:ascii="Times New Roman" w:hAnsi="Times New Roman"/>
          <w:sz w:val="24"/>
          <w:szCs w:val="24"/>
          <w:lang w:val="nl-NL"/>
        </w:rPr>
      </w:pPr>
      <w:r w:rsidRPr="00F14111">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Pr>
          <w:rFonts w:ascii="Times New Roman" w:hAnsi="Times New Roman"/>
          <w:sz w:val="24"/>
          <w:szCs w:val="24"/>
          <w:lang w:val="nl-NL"/>
        </w:rPr>
        <w:t>.</w:t>
      </w:r>
      <w:r w:rsidRPr="00F14111">
        <w:rPr>
          <w:rFonts w:ascii="Times New Roman" w:hAnsi="Times New Roman"/>
          <w:sz w:val="24"/>
          <w:szCs w:val="24"/>
          <w:lang w:val="nl-NL"/>
        </w:rPr>
        <w:t xml:space="preserve"> Đẩy mạnh giải ngân đầu tư công từ giai đoạn năm 202</w:t>
      </w:r>
      <w:r>
        <w:rPr>
          <w:rFonts w:ascii="Times New Roman" w:hAnsi="Times New Roman"/>
          <w:sz w:val="24"/>
          <w:szCs w:val="24"/>
          <w:lang w:val="nl-NL"/>
        </w:rPr>
        <w:t>2-2023 cùng với gói hỗ trợ phát triển kinh tế đang được kỳ vọng Quốc hội thông qua trong năm 2022</w:t>
      </w:r>
      <w:r w:rsidRPr="00F14111">
        <w:rPr>
          <w:rFonts w:ascii="Times New Roman" w:hAnsi="Times New Roman"/>
          <w:sz w:val="24"/>
          <w:szCs w:val="24"/>
          <w:lang w:val="nl-NL"/>
        </w:rPr>
        <w:t>;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tháng 01 năm 2021. Bên cạnh đó, những rủi ro về tình hình dịch Covid-19 có ảnh hưởng sâu rộng đến</w:t>
      </w:r>
      <w:r>
        <w:rPr>
          <w:rFonts w:ascii="Times New Roman" w:hAnsi="Times New Roman"/>
          <w:sz w:val="24"/>
          <w:szCs w:val="24"/>
          <w:lang w:val="nl-NL"/>
        </w:rPr>
        <w:t xml:space="preserve"> tình hình</w:t>
      </w:r>
      <w:r w:rsidRPr="00F14111">
        <w:rPr>
          <w:rFonts w:ascii="Times New Roman" w:hAnsi="Times New Roman"/>
          <w:sz w:val="24"/>
          <w:szCs w:val="24"/>
          <w:lang w:val="nl-NL"/>
        </w:rPr>
        <w:t xml:space="preserve"> kinh tế trên toàn thế giới, và còn đó những rủi ro tiềm ẩn cần lưu ý bao gồm </w:t>
      </w:r>
      <w:r>
        <w:rPr>
          <w:rFonts w:ascii="Times New Roman" w:hAnsi="Times New Roman"/>
          <w:sz w:val="24"/>
          <w:szCs w:val="24"/>
          <w:lang w:val="nl-NL"/>
        </w:rPr>
        <w:t>lạm phát tăng cao và bong bóng tài sản có dấu hiệu được thổi phồng khắp nơi trên thế giới do các chính sách ồ ạt nới lỏng tiền tệ để kích thích kinh tế phục hồi tăng trưởng hậu Covid-19</w:t>
      </w:r>
      <w:r w:rsidRPr="00F14111">
        <w:rPr>
          <w:rFonts w:ascii="Times New Roman" w:hAnsi="Times New Roman"/>
          <w:sz w:val="24"/>
          <w:szCs w:val="24"/>
          <w:lang w:val="nl-NL"/>
        </w:rPr>
        <w:t xml:space="preserve">, </w:t>
      </w:r>
      <w:r>
        <w:rPr>
          <w:rFonts w:ascii="Times New Roman" w:hAnsi="Times New Roman"/>
          <w:sz w:val="24"/>
          <w:szCs w:val="24"/>
          <w:lang w:val="nl-NL"/>
        </w:rPr>
        <w:t xml:space="preserve">ẩn số nợ xấu trong hệ thống ngân hàng sau dich bệnh, </w:t>
      </w:r>
      <w:r w:rsidRPr="00F14111">
        <w:rPr>
          <w:rFonts w:ascii="Times New Roman" w:hAnsi="Times New Roman"/>
          <w:sz w:val="24"/>
          <w:szCs w:val="24"/>
          <w:lang w:val="nl-NL"/>
        </w:rPr>
        <w:t xml:space="preserve">tình hình </w:t>
      </w:r>
      <w:r>
        <w:rPr>
          <w:rFonts w:ascii="Times New Roman" w:hAnsi="Times New Roman"/>
          <w:sz w:val="24"/>
          <w:szCs w:val="24"/>
          <w:lang w:val="nl-NL"/>
        </w:rPr>
        <w:t xml:space="preserve">vỡ nợ trên thị trường bất động sản của </w:t>
      </w:r>
      <w:r w:rsidRPr="00F14111">
        <w:rPr>
          <w:rFonts w:ascii="Times New Roman" w:hAnsi="Times New Roman"/>
          <w:sz w:val="24"/>
          <w:szCs w:val="24"/>
          <w:lang w:val="nl-NL"/>
        </w:rPr>
        <w:t xml:space="preserve">Trung Quốc </w:t>
      </w:r>
      <w:r>
        <w:rPr>
          <w:rFonts w:ascii="Times New Roman" w:hAnsi="Times New Roman"/>
          <w:sz w:val="24"/>
          <w:szCs w:val="24"/>
          <w:lang w:val="nl-NL"/>
        </w:rPr>
        <w:t>tăng mạnh cuối năm 2021</w:t>
      </w:r>
      <w:r w:rsidRPr="00F14111">
        <w:rPr>
          <w:rFonts w:ascii="Times New Roman" w:hAnsi="Times New Roman"/>
          <w:sz w:val="24"/>
          <w:szCs w:val="24"/>
          <w:lang w:val="nl-NL"/>
        </w:rPr>
        <w:t xml:space="preserve">, bất ổn </w:t>
      </w:r>
      <w:r>
        <w:rPr>
          <w:rFonts w:ascii="Times New Roman" w:hAnsi="Times New Roman"/>
          <w:sz w:val="24"/>
          <w:szCs w:val="24"/>
          <w:lang w:val="nl-NL"/>
        </w:rPr>
        <w:t xml:space="preserve">trong thương mại quốc tế, đứt gãy chuỗi cung ứng thế giới, bùng nổ giá cả hàng hóa có thể </w:t>
      </w:r>
      <w:r w:rsidRPr="00F14111">
        <w:rPr>
          <w:rFonts w:ascii="Times New Roman" w:hAnsi="Times New Roman"/>
          <w:sz w:val="24"/>
          <w:szCs w:val="24"/>
          <w:lang w:val="nl-NL"/>
        </w:rPr>
        <w:t xml:space="preserve">gây ra những biến động khó lường của dòng vốn đầu tư gián tiếp nước ngoài vào Thị trường Chứng khoán Việt Nam. </w:t>
      </w:r>
    </w:p>
    <w:p w14:paraId="12B6C522" w14:textId="1C857FBF" w:rsidR="006E2436" w:rsidRDefault="005146DD" w:rsidP="006E2436">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Như vậy, với các yếu tố cơ bản về giá trị kết hợp với các yếu tố định tính như phân tích ở trên cho thấy Thị trường Chứng khoán Việt Nam trong thời gian tới </w:t>
      </w:r>
      <w:r>
        <w:rPr>
          <w:rFonts w:ascii="Times New Roman" w:hAnsi="Times New Roman"/>
          <w:sz w:val="24"/>
          <w:szCs w:val="24"/>
          <w:lang w:val="nl-NL"/>
        </w:rPr>
        <w:t xml:space="preserve">tiếp tục </w:t>
      </w:r>
      <w:r w:rsidRPr="00F14111">
        <w:rPr>
          <w:rFonts w:ascii="Times New Roman" w:hAnsi="Times New Roman"/>
          <w:sz w:val="24"/>
          <w:szCs w:val="24"/>
          <w:lang w:val="nl-NL"/>
        </w:rPr>
        <w:t xml:space="preserve">có </w:t>
      </w:r>
      <w:r>
        <w:rPr>
          <w:rFonts w:ascii="Times New Roman" w:hAnsi="Times New Roman"/>
          <w:sz w:val="24"/>
          <w:szCs w:val="24"/>
          <w:lang w:val="nl-NL"/>
        </w:rPr>
        <w:t xml:space="preserve">những </w:t>
      </w:r>
      <w:r w:rsidRPr="00F14111">
        <w:rPr>
          <w:rFonts w:ascii="Times New Roman" w:hAnsi="Times New Roman"/>
          <w:sz w:val="24"/>
          <w:szCs w:val="24"/>
          <w:lang w:val="nl-NL"/>
        </w:rPr>
        <w:t xml:space="preserve">kịch bản sáng sủa cùng với kỳ vọng tiếp tục khởi sắc dần của nền kinh tế, tạo tiền đề cho sự phát triển lâu dài trong những năm tiếp theo; và dĩ nhiên bức tranh sáng sủa phải kèm theo những giả định về điều kiện </w:t>
      </w:r>
      <w:r>
        <w:rPr>
          <w:rFonts w:ascii="Times New Roman" w:hAnsi="Times New Roman"/>
          <w:sz w:val="24"/>
          <w:szCs w:val="24"/>
          <w:lang w:val="nl-NL"/>
        </w:rPr>
        <w:t>các rủi ro từ bên ngoài Việt Nam được kiểm soát</w:t>
      </w:r>
      <w:r w:rsidRPr="00F14111">
        <w:rPr>
          <w:rFonts w:ascii="Times New Roman" w:hAnsi="Times New Roman"/>
          <w:sz w:val="24"/>
          <w:szCs w:val="24"/>
          <w:lang w:val="nl-NL"/>
        </w:rPr>
        <w:t xml:space="preserve">, dịch bệnh </w:t>
      </w:r>
      <w:r>
        <w:rPr>
          <w:rFonts w:ascii="Times New Roman" w:hAnsi="Times New Roman"/>
          <w:sz w:val="24"/>
          <w:szCs w:val="24"/>
          <w:lang w:val="nl-NL"/>
        </w:rPr>
        <w:t>Covid-19 được đẩy lùi và nền kinh tế mở cửa hoàn toàn trở lại.</w:t>
      </w:r>
    </w:p>
    <w:p w14:paraId="488288AB" w14:textId="77777777" w:rsidR="005146DD" w:rsidRDefault="005146DD" w:rsidP="006E2436">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967CA8">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E77D1" w:rsidRPr="00A90AB7" w14:paraId="06984D68" w14:textId="77777777" w:rsidTr="0083372E">
        <w:tc>
          <w:tcPr>
            <w:tcW w:w="2970" w:type="dxa"/>
          </w:tcPr>
          <w:p w14:paraId="6D4631A8"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38EBF61D"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4F4D8895"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3D31A84A" w14:textId="77777777" w:rsidR="005146DD" w:rsidRPr="00A90AB7" w:rsidRDefault="005146DD" w:rsidP="005146DD">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51202D7"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0F03B16C"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1BBA425F"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lastRenderedPageBreak/>
              <w:t>Thạc sỹ Kinh tế Phát triển, Chương trình Cao học Kinh tế Phát triển Việt Nam – Hà Lan, Tp. HCM;</w:t>
            </w:r>
          </w:p>
          <w:p w14:paraId="5390EA96"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79845F8B"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r>
              <w:rPr>
                <w:rFonts w:ascii="Times New Roman" w:hAnsi="Times New Roman"/>
                <w:sz w:val="24"/>
                <w:szCs w:val="24"/>
                <w:lang w:val="nl-NL"/>
              </w:rPr>
              <w:t xml:space="preserve"> (</w:t>
            </w:r>
            <w:r w:rsidRPr="00943F34">
              <w:rPr>
                <w:rFonts w:ascii="Times New Roman" w:hAnsi="Times New Roman"/>
                <w:sz w:val="24"/>
                <w:szCs w:val="24"/>
                <w:lang w:val="nl-NL"/>
              </w:rPr>
              <w:t>Chartered Market Technician</w:t>
            </w:r>
            <w:r>
              <w:rPr>
                <w:rFonts w:ascii="Times New Roman" w:hAnsi="Times New Roman"/>
                <w:sz w:val="24"/>
                <w:szCs w:val="24"/>
                <w:lang w:val="nl-NL"/>
              </w:rPr>
              <w:t>)</w:t>
            </w:r>
            <w:r w:rsidRPr="00A90AB7">
              <w:rPr>
                <w:rFonts w:ascii="Times New Roman" w:hAnsi="Times New Roman"/>
                <w:sz w:val="24"/>
                <w:szCs w:val="24"/>
                <w:lang w:val="nl-NL"/>
              </w:rPr>
              <w:t>;</w:t>
            </w:r>
          </w:p>
          <w:p w14:paraId="66525CA4"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00B8F73E" w14:textId="77777777" w:rsidR="005146DD" w:rsidRPr="00A90AB7" w:rsidRDefault="005146DD" w:rsidP="005146DD">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2F1BC12" w14:textId="77777777" w:rsidR="005146DD" w:rsidRPr="00A90AB7" w:rsidRDefault="005146DD" w:rsidP="005146DD">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w:t>
            </w:r>
          </w:p>
          <w:p w14:paraId="1EC8E15F" w14:textId="77777777" w:rsidR="005146DD" w:rsidRPr="00A90AB7" w:rsidRDefault="005146DD" w:rsidP="005146DD">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1B7ACEDC" w:rsidR="005E77D1" w:rsidRPr="00A90AB7" w:rsidRDefault="005146DD" w:rsidP="005146DD">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5E77D1" w:rsidRPr="00A90AB7" w14:paraId="1AAD9BAC" w14:textId="77777777" w:rsidTr="005E549F">
        <w:tc>
          <w:tcPr>
            <w:tcW w:w="2970" w:type="dxa"/>
          </w:tcPr>
          <w:p w14:paraId="3D75965E"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lastRenderedPageBreak/>
              <w:t xml:space="preserve">Ông </w:t>
            </w:r>
            <w:r w:rsidRPr="00A90AB7">
              <w:rPr>
                <w:rFonts w:ascii="Times New Roman" w:hAnsi="Times New Roman"/>
                <w:b/>
                <w:sz w:val="24"/>
                <w:szCs w:val="24"/>
                <w:lang w:val="nl-NL"/>
              </w:rPr>
              <w:t>Masafumi Takeshita</w:t>
            </w:r>
          </w:p>
          <w:p w14:paraId="3BAE3522" w14:textId="63165D20"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5A030E46" w14:textId="77777777" w:rsidR="005146DD" w:rsidRPr="00A90AB7" w:rsidRDefault="005146DD" w:rsidP="005146DD">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2478818" w14:textId="77777777" w:rsidR="005146DD" w:rsidRPr="00A90AB7" w:rsidRDefault="005146DD" w:rsidP="005146DD">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4D3CD370" w14:textId="77777777" w:rsidR="005146DD" w:rsidRPr="00A90AB7" w:rsidRDefault="005146DD" w:rsidP="005146DD">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31885DE9" w14:textId="77777777" w:rsidR="005146DD" w:rsidRDefault="005146DD" w:rsidP="005146DD">
            <w:pPr>
              <w:spacing w:before="120" w:after="0" w:line="240" w:lineRule="auto"/>
              <w:ind w:hanging="18"/>
              <w:jc w:val="both"/>
              <w:rPr>
                <w:rFonts w:ascii="Times New Roman" w:hAnsi="Times New Roman"/>
                <w:b/>
                <w:i/>
                <w:sz w:val="24"/>
                <w:szCs w:val="24"/>
                <w:lang w:val="nl-NL"/>
              </w:rPr>
            </w:pPr>
          </w:p>
          <w:p w14:paraId="57876E89" w14:textId="77777777" w:rsidR="005146DD" w:rsidRPr="00A90AB7" w:rsidRDefault="005146DD" w:rsidP="005146DD">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01A87522" w14:textId="77777777" w:rsidR="005146DD" w:rsidRPr="00A90AB7" w:rsidRDefault="005146DD" w:rsidP="005146DD">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mười (10) năm kinh nghiệm làm việc và nghiên cứu trong lĩnh vực tài chính, bảo hiểm, đầu tư ở nước ngoài.</w:t>
            </w:r>
          </w:p>
          <w:p w14:paraId="36A25A64" w14:textId="77777777" w:rsidR="005146DD" w:rsidRPr="00A90AB7" w:rsidRDefault="005146DD" w:rsidP="005146DD">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0D727B49" w:rsidR="005E77D1" w:rsidRPr="00A90AB7" w:rsidRDefault="005146DD" w:rsidP="005146DD">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5E77D1" w:rsidRPr="00A90AB7" w14:paraId="6F543997" w14:textId="77777777" w:rsidTr="005E549F">
        <w:tc>
          <w:tcPr>
            <w:tcW w:w="2970" w:type="dxa"/>
          </w:tcPr>
          <w:p w14:paraId="005A13F8"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1ABCCB51"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Thành viên Ban Điều hành giữ chức vụ Phó Giám đốc, </w:t>
            </w:r>
            <w:r w:rsidRPr="00A90AB7">
              <w:rPr>
                <w:rFonts w:ascii="Times New Roman" w:hAnsi="Times New Roman"/>
                <w:sz w:val="24"/>
                <w:szCs w:val="24"/>
                <w:lang w:val="nl-NL"/>
              </w:rPr>
              <w:lastRenderedPageBreak/>
              <w:t>Trưởng Bộ phận Phát triển Kinh doanh</w:t>
            </w:r>
          </w:p>
        </w:tc>
        <w:tc>
          <w:tcPr>
            <w:tcW w:w="6390" w:type="dxa"/>
          </w:tcPr>
          <w:p w14:paraId="1B6BB923" w14:textId="77777777" w:rsidR="005146DD" w:rsidRPr="00A90AB7" w:rsidRDefault="005146DD" w:rsidP="005146DD">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lastRenderedPageBreak/>
              <w:t xml:space="preserve">Trình độ chuyên môn </w:t>
            </w:r>
          </w:p>
          <w:p w14:paraId="0EAA2A57"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Kinh tế Thương mại, Đại học Kinh tế Tp. HCM, </w:t>
            </w:r>
          </w:p>
          <w:p w14:paraId="31270F0B"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Mở Tp. HCM;</w:t>
            </w:r>
          </w:p>
          <w:p w14:paraId="4278DEC1"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Quốc tế chuyên ngành Bảo hiểm Nhân thọ: Fellowship, Life Management Institue (FLMI)</w:t>
            </w:r>
            <w:r>
              <w:rPr>
                <w:rFonts w:ascii="Times New Roman" w:hAnsi="Times New Roman"/>
                <w:sz w:val="24"/>
                <w:szCs w:val="24"/>
                <w:lang w:val="nl-NL"/>
              </w:rPr>
              <w:t>;</w:t>
            </w:r>
            <w:r w:rsidRPr="00A90AB7">
              <w:rPr>
                <w:rFonts w:ascii="Times New Roman" w:hAnsi="Times New Roman"/>
                <w:sz w:val="24"/>
                <w:szCs w:val="24"/>
                <w:lang w:val="nl-NL"/>
              </w:rPr>
              <w:t xml:space="preserve">  </w:t>
            </w:r>
          </w:p>
          <w:p w14:paraId="32067013" w14:textId="77777777" w:rsidR="005146DD" w:rsidRPr="00A90AB7" w:rsidRDefault="005146DD" w:rsidP="005146DD">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lastRenderedPageBreak/>
              <w:t>Chứng chỉ hành nghề Quản lý Quỹ của Ủy ban Chứng khoán Nhà nước.</w:t>
            </w:r>
          </w:p>
          <w:p w14:paraId="3C065A33" w14:textId="77777777" w:rsidR="005146DD" w:rsidRPr="00A90AB7" w:rsidRDefault="005146DD" w:rsidP="005146DD">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ABF3370" w14:textId="77777777" w:rsidR="005146DD" w:rsidRPr="00A90AB7" w:rsidRDefault="005146DD" w:rsidP="005146DD">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 bảo hiểm, quản lý quỹ; trong đó hơn mười (10) năm được đề bạt vào các chức danh quản lý tại các công ty quản lý quỹ hàng đầu Việt Nam.</w:t>
            </w:r>
          </w:p>
          <w:p w14:paraId="74253284" w14:textId="77777777" w:rsidR="005146DD" w:rsidRPr="00A90AB7" w:rsidRDefault="005146DD" w:rsidP="005146DD">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520FE232" w:rsidR="005E77D1" w:rsidRPr="00A90AB7" w:rsidRDefault="005146DD" w:rsidP="005146DD">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6E2436" w:rsidRPr="00A90AB7" w14:paraId="59D5C2CB" w14:textId="77777777" w:rsidTr="0083372E">
        <w:tc>
          <w:tcPr>
            <w:tcW w:w="2970" w:type="dxa"/>
          </w:tcPr>
          <w:p w14:paraId="7AFCE533"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p>
          <w:p w14:paraId="33F3DDEF" w14:textId="52F1C40C"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6E1B0AF3" w14:textId="77777777" w:rsidR="005146DD" w:rsidRPr="00A90AB7" w:rsidRDefault="005146DD" w:rsidP="005146DD">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1E7FF927" w14:textId="77777777" w:rsidR="005146DD" w:rsidRPr="00A90AB7" w:rsidRDefault="005146DD" w:rsidP="005146DD">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Tài chính Doanh nghiệp, Đại học Kinh tế Tp. Hồ Chí Minh;</w:t>
            </w:r>
          </w:p>
          <w:p w14:paraId="2E85FDCC" w14:textId="77777777" w:rsidR="005146DD" w:rsidRPr="00A90AB7" w:rsidRDefault="005146DD" w:rsidP="005146DD">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 Canada);</w:t>
            </w:r>
          </w:p>
          <w:p w14:paraId="65665087" w14:textId="77777777" w:rsidR="005146DD" w:rsidRPr="00A90AB7" w:rsidRDefault="005146DD" w:rsidP="005146DD">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212C2795" w14:textId="77777777" w:rsidR="005146DD" w:rsidRPr="00A90AB7" w:rsidRDefault="005146DD" w:rsidP="005146DD">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35F73F1E" w14:textId="77777777" w:rsidR="005146DD" w:rsidRPr="00A90AB7" w:rsidRDefault="005146DD" w:rsidP="005146DD">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C7FB1D3" w14:textId="693D4061" w:rsidR="006E2436" w:rsidRPr="00A90AB7" w:rsidRDefault="005146DD" w:rsidP="005146DD">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lăm (15) năm làm việc trong lĩnh vực đầu tư, tài chính ngân hàng, trong đó có </w:t>
            </w:r>
            <w:r>
              <w:rPr>
                <w:rFonts w:ascii="Times New Roman" w:hAnsi="Times New Roman"/>
                <w:sz w:val="24"/>
                <w:szCs w:val="24"/>
                <w:lang w:val="nl-NL"/>
              </w:rPr>
              <w:t xml:space="preserve">hơn </w:t>
            </w:r>
            <w:r w:rsidRPr="00A90AB7">
              <w:rPr>
                <w:rFonts w:ascii="Times New Roman" w:hAnsi="Times New Roman"/>
                <w:sz w:val="24"/>
                <w:szCs w:val="24"/>
                <w:lang w:val="nl-NL"/>
              </w:rPr>
              <w:t>mười (10) năm giữ chức vụ Phụ trách đầu tư cổ phiếu tại các Công ty: Công ty Quản lý Quỹ Nhân Việt, Công ty TNHH Bảo hiểm Nhân thọ Dai-ichi Việt Nam và Công ty TNHH Một Thành viên Quản lý Quỹ Dai-ichi Life Việt Nam.</w:t>
            </w:r>
          </w:p>
        </w:tc>
      </w:tr>
      <w:tr w:rsidR="006E2436" w:rsidRPr="00A90AB7" w14:paraId="3AD01E93" w14:textId="77777777" w:rsidTr="0083372E">
        <w:tc>
          <w:tcPr>
            <w:tcW w:w="2970" w:type="dxa"/>
          </w:tcPr>
          <w:p w14:paraId="7F56F4B6" w14:textId="77777777"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 xml:space="preserve">Bà </w:t>
            </w:r>
            <w:r w:rsidRPr="00A90AB7">
              <w:rPr>
                <w:rFonts w:ascii="Times New Roman" w:hAnsi="Times New Roman"/>
                <w:b/>
                <w:sz w:val="24"/>
                <w:szCs w:val="24"/>
                <w:lang w:val="nl-NL"/>
              </w:rPr>
              <w:t>Trần Thị Anh Trâm,</w:t>
            </w:r>
          </w:p>
          <w:p w14:paraId="7E95BEBC" w14:textId="457779DA" w:rsidR="006E2436" w:rsidRPr="00A90AB7" w:rsidRDefault="006E2436" w:rsidP="006E2436">
            <w:pPr>
              <w:pStyle w:val="ListParagraph"/>
              <w:tabs>
                <w:tab w:val="left" w:pos="540"/>
              </w:tabs>
              <w:spacing w:before="120" w:after="0" w:line="240" w:lineRule="auto"/>
              <w:ind w:left="0"/>
              <w:jc w:val="both"/>
              <w:rPr>
                <w:rFonts w:ascii="Times New Roman" w:hAnsi="Times New Roman"/>
                <w:sz w:val="24"/>
                <w:szCs w:val="24"/>
                <w:lang w:val="nl-NL"/>
              </w:rPr>
            </w:pPr>
            <w:r w:rsidRPr="006E2436">
              <w:rPr>
                <w:rFonts w:ascii="Times New Roman" w:hAnsi="Times New Roman"/>
                <w:sz w:val="24"/>
                <w:szCs w:val="24"/>
                <w:lang w:val="nl-NL"/>
              </w:rPr>
              <w:t>Trưởng phòng Cao cấp Nghiệp vụ Quản lý Quỹ</w:t>
            </w:r>
          </w:p>
        </w:tc>
        <w:tc>
          <w:tcPr>
            <w:tcW w:w="6390" w:type="dxa"/>
          </w:tcPr>
          <w:p w14:paraId="5A77C422" w14:textId="77777777" w:rsidR="005146DD" w:rsidRPr="00A90AB7" w:rsidRDefault="005146DD" w:rsidP="005146DD">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FAC4118" w14:textId="77777777" w:rsidR="005146DD" w:rsidRPr="00A90AB7" w:rsidRDefault="005146DD" w:rsidP="005146DD">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Luật, Đại học Luật Tp. Hồ Chí Minh;</w:t>
            </w:r>
          </w:p>
          <w:p w14:paraId="4E4A000C" w14:textId="77777777" w:rsidR="005146DD" w:rsidRPr="00A90AB7" w:rsidRDefault="005146DD" w:rsidP="005146DD">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 Đại học Văn Lang;</w:t>
            </w:r>
          </w:p>
          <w:p w14:paraId="07F0AD65" w14:textId="77777777" w:rsidR="005146DD" w:rsidRPr="00A90AB7" w:rsidRDefault="005146DD" w:rsidP="005146DD">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3738B7C9" w14:textId="77777777" w:rsidR="005146DD" w:rsidRPr="00A90AB7" w:rsidRDefault="005146DD" w:rsidP="005146DD">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15EF676C" w:rsidR="006E2436" w:rsidRPr="00A90AB7" w:rsidRDefault="005146DD" w:rsidP="005146DD">
            <w:pPr>
              <w:spacing w:before="60" w:after="60"/>
              <w:jc w:val="both"/>
              <w:rPr>
                <w:rFonts w:ascii="Times New Roman" w:hAnsi="Times New Roman"/>
                <w:sz w:val="24"/>
                <w:szCs w:val="24"/>
              </w:rPr>
            </w:pPr>
            <w:proofErr w:type="spellStart"/>
            <w:r w:rsidRPr="00A90AB7">
              <w:rPr>
                <w:rFonts w:ascii="Times New Roman" w:hAnsi="Times New Roman"/>
                <w:sz w:val="24"/>
                <w:szCs w:val="24"/>
              </w:rPr>
              <w:lastRenderedPageBreak/>
              <w:t>Trên</w:t>
            </w:r>
            <w:proofErr w:type="spellEnd"/>
            <w:r w:rsidRPr="00A90AB7">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bốn</w:t>
            </w:r>
            <w:proofErr w:type="spellEnd"/>
            <w:r w:rsidRPr="00A90AB7">
              <w:rPr>
                <w:rFonts w:ascii="Times New Roman" w:hAnsi="Times New Roman"/>
                <w:sz w:val="24"/>
                <w:szCs w:val="24"/>
              </w:rPr>
              <w:t xml:space="preserve"> (</w:t>
            </w:r>
            <w:r>
              <w:rPr>
                <w:rFonts w:ascii="Times New Roman" w:hAnsi="Times New Roman"/>
                <w:sz w:val="24"/>
                <w:szCs w:val="24"/>
              </w:rPr>
              <w:t>14</w:t>
            </w:r>
            <w:r w:rsidRPr="00A90AB7">
              <w:rPr>
                <w:rFonts w:ascii="Times New Roman" w:hAnsi="Times New Roman"/>
                <w:sz w:val="24"/>
                <w:szCs w:val="24"/>
              </w:rPr>
              <w:t xml:space="preserve">)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146DD" w:rsidRPr="00A90AB7" w14:paraId="73433A03" w14:textId="77777777" w:rsidTr="006E2436">
        <w:tc>
          <w:tcPr>
            <w:tcW w:w="2970" w:type="dxa"/>
          </w:tcPr>
          <w:p w14:paraId="0543EB0E" w14:textId="316C1ED8" w:rsidR="005146DD" w:rsidRPr="00A90AB7" w:rsidRDefault="005146DD" w:rsidP="005146DD">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p>
          <w:p w14:paraId="0FBFF604" w14:textId="0888DAF0" w:rsidR="005146DD" w:rsidRPr="00A90AB7" w:rsidRDefault="005146DD" w:rsidP="005146DD">
            <w:pPr>
              <w:spacing w:before="120" w:after="120"/>
              <w:jc w:val="both"/>
              <w:rPr>
                <w:rFonts w:ascii="Times New Roman" w:hAnsi="Times New Roman"/>
                <w:sz w:val="24"/>
                <w:szCs w:val="24"/>
              </w:rPr>
            </w:pPr>
          </w:p>
        </w:tc>
        <w:tc>
          <w:tcPr>
            <w:tcW w:w="6390" w:type="dxa"/>
          </w:tcPr>
          <w:p w14:paraId="3CC7BF7C" w14:textId="77777777" w:rsidR="005146DD" w:rsidRPr="00A90AB7" w:rsidRDefault="005146DD" w:rsidP="005146DD">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5609C7B2" w:rsidR="005146DD" w:rsidRPr="00A90AB7" w:rsidRDefault="005146DD" w:rsidP="005146DD">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Pr>
                <w:rFonts w:ascii="Times New Roman" w:hAnsi="Times New Roman"/>
                <w:sz w:val="24"/>
                <w:szCs w:val="24"/>
              </w:rPr>
              <w:t>từng</w:t>
            </w:r>
            <w:proofErr w:type="spellEnd"/>
            <w:r>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(VASB)</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5146DD" w:rsidRPr="00A90AB7" w14:paraId="288605CE" w14:textId="77777777" w:rsidTr="006E2436">
        <w:tc>
          <w:tcPr>
            <w:tcW w:w="2970" w:type="dxa"/>
          </w:tcPr>
          <w:p w14:paraId="057A446E" w14:textId="1BE80643" w:rsidR="005146DD" w:rsidRPr="00A90AB7" w:rsidRDefault="005146DD" w:rsidP="005146DD">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p>
          <w:p w14:paraId="54992C26" w14:textId="3B1F593E" w:rsidR="005146DD" w:rsidRPr="00A90AB7" w:rsidRDefault="005146DD" w:rsidP="005146DD">
            <w:pPr>
              <w:spacing w:before="120" w:after="120"/>
              <w:jc w:val="both"/>
              <w:rPr>
                <w:rFonts w:ascii="Times New Roman" w:hAnsi="Times New Roman"/>
                <w:sz w:val="24"/>
                <w:szCs w:val="24"/>
              </w:rPr>
            </w:pPr>
          </w:p>
        </w:tc>
        <w:tc>
          <w:tcPr>
            <w:tcW w:w="6390" w:type="dxa"/>
          </w:tcPr>
          <w:p w14:paraId="187C9F17" w14:textId="77777777" w:rsidR="005146DD" w:rsidRPr="00A90AB7" w:rsidRDefault="005146DD" w:rsidP="005146DD">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7FEFE681" w14:textId="77777777" w:rsidR="005146DD" w:rsidRPr="00A90AB7" w:rsidRDefault="005146DD" w:rsidP="005146DD">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316AE910" w:rsidR="005146DD" w:rsidRPr="00A90AB7" w:rsidRDefault="005146DD" w:rsidP="005146DD">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w:t>
            </w:r>
          </w:p>
        </w:tc>
      </w:tr>
      <w:tr w:rsidR="005146DD" w:rsidRPr="00A90AB7" w14:paraId="1FAC4175" w14:textId="77777777" w:rsidTr="006E2436">
        <w:tc>
          <w:tcPr>
            <w:tcW w:w="2970" w:type="dxa"/>
          </w:tcPr>
          <w:p w14:paraId="5E40B2D6" w14:textId="2F44EEE4" w:rsidR="005146DD" w:rsidRPr="00A90AB7" w:rsidRDefault="005146DD" w:rsidP="005146DD">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p>
          <w:p w14:paraId="7925ECAC" w14:textId="77777777" w:rsidR="005146DD" w:rsidRPr="00A90AB7" w:rsidRDefault="005146DD" w:rsidP="005146DD">
            <w:pPr>
              <w:spacing w:before="120" w:after="120"/>
              <w:jc w:val="both"/>
              <w:rPr>
                <w:rFonts w:ascii="Times New Roman" w:hAnsi="Times New Roman"/>
                <w:sz w:val="24"/>
                <w:szCs w:val="24"/>
              </w:rPr>
            </w:pPr>
          </w:p>
        </w:tc>
        <w:tc>
          <w:tcPr>
            <w:tcW w:w="6390" w:type="dxa"/>
          </w:tcPr>
          <w:p w14:paraId="699365CA" w14:textId="77777777" w:rsidR="005146DD" w:rsidRPr="00A90AB7" w:rsidRDefault="005146DD" w:rsidP="005146DD">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Pr="00A90AB7">
              <w:rPr>
                <w:rFonts w:ascii="Times New Roman" w:hAnsi="Times New Roman"/>
                <w:sz w:val="24"/>
                <w:szCs w:val="24"/>
              </w:rPr>
              <w:t xml:space="preserve">.   </w:t>
            </w:r>
          </w:p>
          <w:p w14:paraId="56B4E307" w14:textId="77777777" w:rsidR="005146DD" w:rsidRPr="00A90AB7" w:rsidRDefault="005146DD" w:rsidP="005146DD">
            <w:pPr>
              <w:spacing w:before="120" w:after="120"/>
              <w:jc w:val="both"/>
              <w:rPr>
                <w:rFonts w:ascii="Times New Roman" w:hAnsi="Times New Roman"/>
                <w:sz w:val="24"/>
                <w:szCs w:val="24"/>
              </w:rPr>
            </w:pPr>
            <w:proofErr w:type="spellStart"/>
            <w:r w:rsidRPr="00A90AB7">
              <w:rPr>
                <w:rFonts w:ascii="Times New Roman" w:hAnsi="Times New Roman"/>
                <w:sz w:val="24"/>
                <w:szCs w:val="24"/>
              </w:rPr>
              <w:lastRenderedPageBreak/>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 </w:t>
            </w:r>
          </w:p>
          <w:p w14:paraId="5C4A0B9C" w14:textId="74766BEA" w:rsidR="005146DD" w:rsidRPr="00A90AB7" w:rsidRDefault="005146DD" w:rsidP="005146DD">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 UK</w:t>
            </w:r>
            <w:r>
              <w:rPr>
                <w:rFonts w:ascii="Times New Roman" w:hAnsi="Times New Roman"/>
                <w:sz w:val="24"/>
                <w:szCs w:val="24"/>
              </w:rPr>
              <w:t xml:space="preserve">, </w:t>
            </w:r>
            <w:proofErr w:type="spellStart"/>
            <w:r>
              <w:rPr>
                <w:rFonts w:ascii="Times New Roman" w:hAnsi="Times New Roman"/>
                <w:sz w:val="24"/>
                <w:szCs w:val="24"/>
              </w:rPr>
              <w:t>Cử</w:t>
            </w:r>
            <w:proofErr w:type="spellEnd"/>
            <w:r>
              <w:rPr>
                <w:rFonts w:ascii="Times New Roman" w:hAnsi="Times New Roman"/>
                <w:sz w:val="24"/>
                <w:szCs w:val="24"/>
              </w:rPr>
              <w:t xml:space="preserve"> </w:t>
            </w:r>
            <w:proofErr w:type="spellStart"/>
            <w:r>
              <w:rPr>
                <w:rFonts w:ascii="Times New Roman" w:hAnsi="Times New Roman"/>
                <w:sz w:val="24"/>
                <w:szCs w:val="24"/>
              </w:rPr>
              <w:t>nhân</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học</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Tp. HCM</w:t>
            </w:r>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0B24B535" w14:textId="2E9B4ED0"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lastRenderedPageBreak/>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5523A8">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4D7871">
        <w:rPr>
          <w:rFonts w:ascii="Times New Roman" w:eastAsia="Times New Roman" w:hAnsi="Times New Roman"/>
          <w:i/>
          <w:sz w:val="24"/>
          <w:szCs w:val="24"/>
          <w:lang w:val="nl-NL"/>
        </w:rPr>
        <w:t>01</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4D7871">
        <w:rPr>
          <w:rFonts w:ascii="Times New Roman" w:eastAsia="Times New Roman" w:hAnsi="Times New Roman"/>
          <w:i/>
          <w:sz w:val="24"/>
          <w:szCs w:val="24"/>
          <w:lang w:val="nl-NL"/>
        </w:rPr>
        <w:t>2</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37432471" w:rsidR="00B17BB1"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76B455B0" w14:textId="77777777" w:rsidR="00BF217F" w:rsidRPr="00A90AB7" w:rsidRDefault="00BF217F"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2"/>
  </w:num>
  <w:num w:numId="5">
    <w:abstractNumId w:val="11"/>
  </w:num>
  <w:num w:numId="6">
    <w:abstractNumId w:val="2"/>
  </w:num>
  <w:num w:numId="7">
    <w:abstractNumId w:val="9"/>
  </w:num>
  <w:num w:numId="8">
    <w:abstractNumId w:val="8"/>
  </w:num>
  <w:num w:numId="9">
    <w:abstractNumId w:val="7"/>
  </w:num>
  <w:num w:numId="10">
    <w:abstractNumId w:val="3"/>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67968"/>
    <w:rsid w:val="00087AE7"/>
    <w:rsid w:val="00091CAB"/>
    <w:rsid w:val="000B431B"/>
    <w:rsid w:val="000C014D"/>
    <w:rsid w:val="000C4474"/>
    <w:rsid w:val="000C67AE"/>
    <w:rsid w:val="000D074B"/>
    <w:rsid w:val="000D3A01"/>
    <w:rsid w:val="000E3B0B"/>
    <w:rsid w:val="000E5FE9"/>
    <w:rsid w:val="000F2123"/>
    <w:rsid w:val="000F601D"/>
    <w:rsid w:val="00116153"/>
    <w:rsid w:val="00123825"/>
    <w:rsid w:val="00131315"/>
    <w:rsid w:val="00137C1F"/>
    <w:rsid w:val="00147E0F"/>
    <w:rsid w:val="00151BC4"/>
    <w:rsid w:val="00156661"/>
    <w:rsid w:val="001660FB"/>
    <w:rsid w:val="0017714B"/>
    <w:rsid w:val="00181C49"/>
    <w:rsid w:val="001966AE"/>
    <w:rsid w:val="001B0B30"/>
    <w:rsid w:val="001B784B"/>
    <w:rsid w:val="001C4B96"/>
    <w:rsid w:val="001D49A9"/>
    <w:rsid w:val="001E40A2"/>
    <w:rsid w:val="001E4811"/>
    <w:rsid w:val="00203124"/>
    <w:rsid w:val="00220EA1"/>
    <w:rsid w:val="002243DA"/>
    <w:rsid w:val="00245818"/>
    <w:rsid w:val="002616E7"/>
    <w:rsid w:val="0026620B"/>
    <w:rsid w:val="002841FF"/>
    <w:rsid w:val="002A14C7"/>
    <w:rsid w:val="002D4C06"/>
    <w:rsid w:val="002E1952"/>
    <w:rsid w:val="003011A5"/>
    <w:rsid w:val="00315A8E"/>
    <w:rsid w:val="00324B82"/>
    <w:rsid w:val="003329D6"/>
    <w:rsid w:val="003355C3"/>
    <w:rsid w:val="00360AD3"/>
    <w:rsid w:val="00363C83"/>
    <w:rsid w:val="0037699B"/>
    <w:rsid w:val="00386B2A"/>
    <w:rsid w:val="003875D1"/>
    <w:rsid w:val="00390432"/>
    <w:rsid w:val="00394460"/>
    <w:rsid w:val="003A4C1C"/>
    <w:rsid w:val="003A4D71"/>
    <w:rsid w:val="003B07B0"/>
    <w:rsid w:val="003D42C3"/>
    <w:rsid w:val="003E3D5C"/>
    <w:rsid w:val="003F36B2"/>
    <w:rsid w:val="00420BBF"/>
    <w:rsid w:val="00450792"/>
    <w:rsid w:val="004532C3"/>
    <w:rsid w:val="00455789"/>
    <w:rsid w:val="004573A2"/>
    <w:rsid w:val="0046119D"/>
    <w:rsid w:val="004647B9"/>
    <w:rsid w:val="00494F7E"/>
    <w:rsid w:val="004C3F63"/>
    <w:rsid w:val="004C7F20"/>
    <w:rsid w:val="004D7871"/>
    <w:rsid w:val="004E41BD"/>
    <w:rsid w:val="00505ACF"/>
    <w:rsid w:val="005146DD"/>
    <w:rsid w:val="0052162A"/>
    <w:rsid w:val="00523419"/>
    <w:rsid w:val="0052502D"/>
    <w:rsid w:val="0053737B"/>
    <w:rsid w:val="00551946"/>
    <w:rsid w:val="00551DCB"/>
    <w:rsid w:val="005523A8"/>
    <w:rsid w:val="00572F1B"/>
    <w:rsid w:val="0058767D"/>
    <w:rsid w:val="005A23DB"/>
    <w:rsid w:val="005A265A"/>
    <w:rsid w:val="005A4441"/>
    <w:rsid w:val="005A4E9C"/>
    <w:rsid w:val="005C58DA"/>
    <w:rsid w:val="005E4081"/>
    <w:rsid w:val="005E4A6D"/>
    <w:rsid w:val="005E549F"/>
    <w:rsid w:val="005E77D1"/>
    <w:rsid w:val="005F16E8"/>
    <w:rsid w:val="005F188A"/>
    <w:rsid w:val="00620D22"/>
    <w:rsid w:val="00631DA1"/>
    <w:rsid w:val="00645CE0"/>
    <w:rsid w:val="00677949"/>
    <w:rsid w:val="006902A3"/>
    <w:rsid w:val="006A5246"/>
    <w:rsid w:val="006B2F2D"/>
    <w:rsid w:val="006D6A1B"/>
    <w:rsid w:val="006E2436"/>
    <w:rsid w:val="006F7015"/>
    <w:rsid w:val="00701DBC"/>
    <w:rsid w:val="007104D6"/>
    <w:rsid w:val="00713CC7"/>
    <w:rsid w:val="00747879"/>
    <w:rsid w:val="00753C12"/>
    <w:rsid w:val="00756A76"/>
    <w:rsid w:val="00763691"/>
    <w:rsid w:val="00764C46"/>
    <w:rsid w:val="00792A48"/>
    <w:rsid w:val="007959DC"/>
    <w:rsid w:val="007A2D4E"/>
    <w:rsid w:val="007B289D"/>
    <w:rsid w:val="007C5B05"/>
    <w:rsid w:val="008001E9"/>
    <w:rsid w:val="00804BBD"/>
    <w:rsid w:val="00816829"/>
    <w:rsid w:val="00826BB2"/>
    <w:rsid w:val="00830EAF"/>
    <w:rsid w:val="0083372E"/>
    <w:rsid w:val="00860234"/>
    <w:rsid w:val="00860A96"/>
    <w:rsid w:val="008707C6"/>
    <w:rsid w:val="008731A7"/>
    <w:rsid w:val="008939A1"/>
    <w:rsid w:val="008971AB"/>
    <w:rsid w:val="00897BB3"/>
    <w:rsid w:val="008D629B"/>
    <w:rsid w:val="008E75CF"/>
    <w:rsid w:val="008F2B2D"/>
    <w:rsid w:val="008F3818"/>
    <w:rsid w:val="00912E19"/>
    <w:rsid w:val="0093157F"/>
    <w:rsid w:val="0093357C"/>
    <w:rsid w:val="00935B7F"/>
    <w:rsid w:val="0096793F"/>
    <w:rsid w:val="00967CA8"/>
    <w:rsid w:val="00981F7A"/>
    <w:rsid w:val="00982758"/>
    <w:rsid w:val="00985B28"/>
    <w:rsid w:val="009C5637"/>
    <w:rsid w:val="009D5686"/>
    <w:rsid w:val="009D7171"/>
    <w:rsid w:val="009F4856"/>
    <w:rsid w:val="00A04A2C"/>
    <w:rsid w:val="00A27B9B"/>
    <w:rsid w:val="00A354B3"/>
    <w:rsid w:val="00A377D1"/>
    <w:rsid w:val="00A42F64"/>
    <w:rsid w:val="00A474F7"/>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63DD9"/>
    <w:rsid w:val="00B7729E"/>
    <w:rsid w:val="00B83A7D"/>
    <w:rsid w:val="00B97429"/>
    <w:rsid w:val="00B97B26"/>
    <w:rsid w:val="00BA4D7F"/>
    <w:rsid w:val="00BD079F"/>
    <w:rsid w:val="00BE1598"/>
    <w:rsid w:val="00BE6F63"/>
    <w:rsid w:val="00BF217F"/>
    <w:rsid w:val="00BF44CF"/>
    <w:rsid w:val="00C17A7C"/>
    <w:rsid w:val="00C326B2"/>
    <w:rsid w:val="00C3684A"/>
    <w:rsid w:val="00C41CA6"/>
    <w:rsid w:val="00C5103F"/>
    <w:rsid w:val="00C527C7"/>
    <w:rsid w:val="00C5765C"/>
    <w:rsid w:val="00CA76CF"/>
    <w:rsid w:val="00CC0FF9"/>
    <w:rsid w:val="00CD495C"/>
    <w:rsid w:val="00D10122"/>
    <w:rsid w:val="00D11DF9"/>
    <w:rsid w:val="00D135E8"/>
    <w:rsid w:val="00D32EB2"/>
    <w:rsid w:val="00D55232"/>
    <w:rsid w:val="00D66826"/>
    <w:rsid w:val="00D806C4"/>
    <w:rsid w:val="00D85C46"/>
    <w:rsid w:val="00DA30AE"/>
    <w:rsid w:val="00DC1FD1"/>
    <w:rsid w:val="00E0018A"/>
    <w:rsid w:val="00E03D4B"/>
    <w:rsid w:val="00E117F3"/>
    <w:rsid w:val="00E24141"/>
    <w:rsid w:val="00E32BB9"/>
    <w:rsid w:val="00E41DE8"/>
    <w:rsid w:val="00E47954"/>
    <w:rsid w:val="00E50F56"/>
    <w:rsid w:val="00E53446"/>
    <w:rsid w:val="00E630D3"/>
    <w:rsid w:val="00E67CAC"/>
    <w:rsid w:val="00E74ED3"/>
    <w:rsid w:val="00E92263"/>
    <w:rsid w:val="00E95030"/>
    <w:rsid w:val="00EA03A4"/>
    <w:rsid w:val="00EB7C98"/>
    <w:rsid w:val="00EC1DDD"/>
    <w:rsid w:val="00ED4A9C"/>
    <w:rsid w:val="00EE2193"/>
    <w:rsid w:val="00EE3F61"/>
    <w:rsid w:val="00EF41E2"/>
    <w:rsid w:val="00F01A1F"/>
    <w:rsid w:val="00F075DE"/>
    <w:rsid w:val="00F23C43"/>
    <w:rsid w:val="00F72260"/>
    <w:rsid w:val="00F92921"/>
    <w:rsid w:val="00FA0348"/>
    <w:rsid w:val="00FA2A53"/>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166.1.59\drive_g$\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spPr>
              <a:ln w="22225" cap="rnd">
                <a:solidFill>
                  <a:schemeClr val="accent1"/>
                </a:solidFill>
              </a:ln>
              <a:effectLst>
                <a:glow rad="139700">
                  <a:schemeClr val="accent1">
                    <a:satMod val="175000"/>
                    <a:alpha val="14000"/>
                  </a:schemeClr>
                </a:glow>
              </a:effectLst>
            </c:spPr>
            <c:extLst>
              <c:ext xmlns:c16="http://schemas.microsoft.com/office/drawing/2014/chart" uri="{C3380CC4-5D6E-409C-BE32-E72D297353CC}">
                <c16:uniqueId val="{00000001-3D64-433F-98EE-47984E3A12ED}"/>
              </c:ext>
            </c:extLst>
          </c:dPt>
          <c:cat>
            <c:numRef>
              <c:f>Chart!$A$2:$A$273</c:f>
              <c:numCache>
                <c:formatCode>[$-409]d\-mmm\-yy;@</c:formatCode>
                <c:ptCount val="272"/>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0</c:v>
                </c:pt>
              </c:numCache>
            </c:numRef>
          </c:cat>
          <c:val>
            <c:numRef>
              <c:f>Chart!$B$2:$B$273</c:f>
              <c:numCache>
                <c:formatCode>_(* #,##0.00_);_(* \(#,##0.00\);_(* "-"??_);_(@_)</c:formatCode>
                <c:ptCount val="272"/>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0</c:v>
                </c:pt>
              </c:numCache>
            </c:numRef>
          </c:val>
          <c:smooth val="0"/>
          <c:extLst>
            <c:ext xmlns:c16="http://schemas.microsoft.com/office/drawing/2014/chart" uri="{C3380CC4-5D6E-409C-BE32-E72D297353CC}">
              <c16:uniqueId val="{00000002-3D64-433F-98EE-47984E3A12ED}"/>
            </c:ext>
          </c:extLst>
        </c:ser>
        <c:dLbls>
          <c:showLegendKey val="0"/>
          <c:showVal val="0"/>
          <c:showCatName val="0"/>
          <c:showSerName val="0"/>
          <c:showPercent val="0"/>
          <c:showBubbleSize val="0"/>
        </c:dLbls>
        <c:smooth val="0"/>
        <c:axId val="528596872"/>
        <c:axId val="518169832"/>
      </c:lineChart>
      <c:dateAx>
        <c:axId val="528596872"/>
        <c:scaling>
          <c:orientation val="minMax"/>
          <c:max val="44561"/>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14</Pages>
  <Words>4261</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54</cp:revision>
  <dcterms:created xsi:type="dcterms:W3CDTF">2020-10-12T08:01:00Z</dcterms:created>
  <dcterms:modified xsi:type="dcterms:W3CDTF">2022-01-14T08:34:00Z</dcterms:modified>
</cp:coreProperties>
</file>