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737CF0CE"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007104D6">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7341B26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I. Thông tin chung về Quỹ</w:t>
      </w:r>
      <w:r w:rsidR="00494F7E" w:rsidRPr="00A90AB7">
        <w:rPr>
          <w:rFonts w:ascii="Times New Roman" w:hAnsi="Times New Roman"/>
          <w:b/>
          <w:sz w:val="24"/>
          <w:szCs w:val="24"/>
          <w:lang w:val="nl-NL"/>
        </w:rPr>
        <w:t xml:space="preserve"> Đầu Tư Tăng Trường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626EB">
        <w:rPr>
          <w:rFonts w:ascii="Times New Roman" w:hAnsi="Times New Roman"/>
          <w:b/>
          <w:sz w:val="24"/>
          <w:szCs w:val="24"/>
          <w:lang w:val="nl-NL"/>
        </w:rPr>
        <w:t>1. Mục tiêu của Quỹ:</w:t>
      </w:r>
    </w:p>
    <w:p w14:paraId="16E22ECA"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626EB">
        <w:rPr>
          <w:rFonts w:ascii="Times New Roman" w:hAnsi="Times New Roman"/>
          <w:b/>
          <w:sz w:val="24"/>
          <w:szCs w:val="24"/>
          <w:lang w:val="nl-NL"/>
        </w:rPr>
        <w:t>2. Hiệu quả hoạt động của Quỹ:</w:t>
      </w:r>
    </w:p>
    <w:p w14:paraId="1FF4C847" w14:textId="6CD84421"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của </w:t>
      </w:r>
      <w:r w:rsidR="00BE6F63" w:rsidRPr="00C626EB">
        <w:rPr>
          <w:rFonts w:ascii="Times New Roman" w:hAnsi="Times New Roman"/>
          <w:sz w:val="24"/>
          <w:szCs w:val="24"/>
          <w:lang w:val="nl-NL"/>
        </w:rPr>
        <w:t>Quỹ là</w:t>
      </w:r>
      <w:r w:rsidRPr="00C626EB">
        <w:rPr>
          <w:rFonts w:ascii="Times New Roman" w:hAnsi="Times New Roman"/>
          <w:sz w:val="24"/>
          <w:szCs w:val="24"/>
          <w:lang w:val="nl-NL"/>
        </w:rPr>
        <w:t xml:space="preserve"> </w:t>
      </w:r>
      <w:r w:rsidR="00E117F3" w:rsidRPr="00C626EB">
        <w:rPr>
          <w:rFonts w:ascii="Times New Roman" w:hAnsi="Times New Roman"/>
          <w:sz w:val="24"/>
          <w:szCs w:val="24"/>
          <w:lang w:val="nl-NL"/>
        </w:rPr>
        <w:t>23.28</w:t>
      </w:r>
      <w:r w:rsidR="007B289D" w:rsidRPr="00C626EB">
        <w:rPr>
          <w:rFonts w:ascii="Times New Roman" w:hAnsi="Times New Roman"/>
          <w:sz w:val="24"/>
          <w:szCs w:val="24"/>
          <w:lang w:val="nl-NL"/>
        </w:rPr>
        <w:t>%</w:t>
      </w:r>
      <w:r w:rsidR="00BE6F63" w:rsidRPr="00C626EB">
        <w:rPr>
          <w:rFonts w:ascii="Times New Roman" w:hAnsi="Times New Roman"/>
          <w:sz w:val="24"/>
          <w:szCs w:val="24"/>
          <w:lang w:val="nl-NL"/>
        </w:rPr>
        <w:t xml:space="preserve"> so với</w:t>
      </w:r>
      <w:r w:rsidR="00BE6F63" w:rsidRPr="00A90AB7">
        <w:rPr>
          <w:rFonts w:ascii="Times New Roman" w:hAnsi="Times New Roman"/>
          <w:sz w:val="24"/>
          <w:szCs w:val="24"/>
          <w:lang w:val="nl-NL"/>
        </w:rPr>
        <w:t xml:space="preserve">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626EB">
        <w:rPr>
          <w:rFonts w:ascii="Times New Roman" w:hAnsi="Times New Roman"/>
          <w:b/>
          <w:sz w:val="24"/>
          <w:szCs w:val="24"/>
          <w:lang w:val="nl-NL"/>
        </w:rPr>
        <w:t>3. Chính sách và chiến lược đầu tư của Quỹ:</w:t>
      </w:r>
    </w:p>
    <w:p w14:paraId="6DFC5489"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0443EF6E"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r w:rsidRPr="00C43F33">
        <w:rPr>
          <w:rFonts w:ascii="Times New Roman" w:hAnsi="Times New Roman"/>
          <w:sz w:val="24"/>
          <w:szCs w:val="24"/>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3D44F28D"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Điều kiện lựa chọn công ty như sau:</w:t>
      </w:r>
    </w:p>
    <w:p w14:paraId="1919EFC7"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Là công ty trong nhóm dẫn đầu ngành nghề kinh doanh</w:t>
      </w:r>
    </w:p>
    <w:p w14:paraId="131075FE"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tình trạng tài chính lành mạnh</w:t>
      </w:r>
    </w:p>
    <w:p w14:paraId="798B5CCC"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dòng tiền ổn định, chất lượng tài sản tốt</w:t>
      </w:r>
    </w:p>
    <w:p w14:paraId="727401E8" w14:textId="77777777" w:rsidR="005E77D1" w:rsidRPr="00C43F33" w:rsidRDefault="005E77D1" w:rsidP="005E77D1">
      <w:pPr>
        <w:pStyle w:val="ListParagraph"/>
        <w:numPr>
          <w:ilvl w:val="0"/>
          <w:numId w:val="8"/>
        </w:num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Có hệ thống quản trị doanh nghiệp tin cậy.</w:t>
      </w:r>
    </w:p>
    <w:p w14:paraId="677A0E99"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Lĩnh vực đầu tư chính của Quỹ DFVN-CAF tập trung vào cổ phiếu niêm yết trên các Sở Giao dịch Chứng khoán, cổ phiếu sắp niêm yết và các cổ phiếu doanh nghiệp cổ phần hóa. </w:t>
      </w:r>
    </w:p>
    <w:bookmarkEnd w:id="1"/>
    <w:p w14:paraId="508F0462"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19A806A9"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Tiền gửi có kỳ hạn tại các ngân hàng thương mại theo quy định của pháp luật về ngân hàng;</w:t>
      </w:r>
    </w:p>
    <w:p w14:paraId="5E1439D0"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2" w:name="_Ref521351471"/>
      <w:proofErr w:type="spellStart"/>
      <w:r w:rsidRPr="00C626EB">
        <w:rPr>
          <w:rFonts w:ascii="Times New Roman" w:hAnsi="Times New Roman"/>
          <w:sz w:val="24"/>
          <w:szCs w:val="24"/>
          <w:lang w:val="nl-NL"/>
        </w:rPr>
        <w:t>Công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cụ</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thị</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trường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tiền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tệ</w:t>
      </w:r>
      <w:proofErr w:type="spellEnd"/>
      <w:r w:rsidRPr="00C626EB">
        <w:rPr>
          <w:rFonts w:ascii="Times New Roman" w:hAnsi="Times New Roman"/>
          <w:sz w:val="24"/>
          <w:szCs w:val="24"/>
          <w:lang w:val="nl-NL"/>
        </w:rPr>
        <w:t xml:space="preserve"> bao </w:t>
      </w:r>
      <w:proofErr w:type="spellStart"/>
      <w:r w:rsidRPr="00C626EB">
        <w:rPr>
          <w:rFonts w:ascii="Times New Roman" w:hAnsi="Times New Roman"/>
          <w:sz w:val="24"/>
          <w:szCs w:val="24"/>
          <w:lang w:val="nl-NL"/>
        </w:rPr>
        <w:t>gồm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giấy</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tờ</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có</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giá</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công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cụ</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chuyển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nhượng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theo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quy</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định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của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pháp</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luật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liên</w:t>
      </w:r>
      <w:proofErr w:type="spellEnd"/>
      <w:r w:rsidRPr="00C626EB">
        <w:rPr>
          <w:rFonts w:ascii="Times New Roman" w:hAnsi="Times New Roman"/>
          <w:sz w:val="24"/>
          <w:szCs w:val="24"/>
          <w:lang w:val="nl-NL"/>
        </w:rPr>
        <w:t xml:space="preserve"> </w:t>
      </w:r>
      <w:proofErr w:type="spellStart"/>
      <w:proofErr w:type="gramStart"/>
      <w:r w:rsidRPr="00C626EB">
        <w:rPr>
          <w:rFonts w:ascii="Times New Roman" w:hAnsi="Times New Roman"/>
          <w:sz w:val="24"/>
          <w:szCs w:val="24"/>
          <w:lang w:val="nl-NL"/>
        </w:rPr>
        <w:t>quan</w:t>
      </w:r>
      <w:proofErr w:type="spellEnd"/>
      <w:r w:rsidRPr="00C43F33">
        <w:rPr>
          <w:rFonts w:ascii="Times New Roman" w:hAnsi="Times New Roman"/>
          <w:sz w:val="24"/>
          <w:szCs w:val="24"/>
          <w:lang w:val="nl-NL"/>
        </w:rPr>
        <w:t>;</w:t>
      </w:r>
      <w:bookmarkEnd w:id="2"/>
      <w:proofErr w:type="gramEnd"/>
    </w:p>
    <w:p w14:paraId="48FAD826"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Công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cụ</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nợ</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của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Chính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phủ</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được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Chính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phủ</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bảo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lãnh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chính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quyền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địa</w:t>
      </w:r>
      <w:proofErr w:type="spellEnd"/>
      <w:r w:rsidRPr="00C626EB">
        <w:rPr>
          <w:rFonts w:ascii="Times New Roman" w:hAnsi="Times New Roman"/>
          <w:sz w:val="24"/>
          <w:szCs w:val="24"/>
          <w:lang w:val="nl-NL"/>
        </w:rPr>
        <w:t xml:space="preserve"> </w:t>
      </w:r>
      <w:proofErr w:type="spellStart"/>
      <w:proofErr w:type="gramStart"/>
      <w:r w:rsidRPr="00C626EB">
        <w:rPr>
          <w:rFonts w:ascii="Times New Roman" w:hAnsi="Times New Roman"/>
          <w:sz w:val="24"/>
          <w:szCs w:val="24"/>
          <w:lang w:val="nl-NL"/>
        </w:rPr>
        <w:t>phương</w:t>
      </w:r>
      <w:proofErr w:type="spellEnd"/>
      <w:r w:rsidRPr="00C43F33">
        <w:rPr>
          <w:rFonts w:ascii="Times New Roman" w:hAnsi="Times New Roman"/>
          <w:sz w:val="24"/>
          <w:szCs w:val="24"/>
          <w:lang w:val="nl-NL"/>
        </w:rPr>
        <w:t>;</w:t>
      </w:r>
      <w:proofErr w:type="gramEnd"/>
    </w:p>
    <w:p w14:paraId="5A42FFBF"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3" w:name="_Ref521351480"/>
      <w:proofErr w:type="spellStart"/>
      <w:r w:rsidRPr="00C626EB">
        <w:rPr>
          <w:rFonts w:ascii="Times New Roman" w:hAnsi="Times New Roman"/>
          <w:sz w:val="24"/>
          <w:szCs w:val="24"/>
          <w:lang w:val="nl-NL"/>
        </w:rPr>
        <w:t>Cổ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niêm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yết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đăng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ký</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giao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dịch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niêm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yết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trên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Sở</w:t>
      </w:r>
      <w:proofErr w:type="spellEnd"/>
      <w:r w:rsidRPr="00C626EB">
        <w:rPr>
          <w:rFonts w:ascii="Times New Roman" w:hAnsi="Times New Roman"/>
          <w:sz w:val="24"/>
          <w:szCs w:val="24"/>
          <w:lang w:val="nl-NL"/>
        </w:rPr>
        <w:t xml:space="preserve"> Giao </w:t>
      </w:r>
      <w:proofErr w:type="spellStart"/>
      <w:r w:rsidRPr="00C626EB">
        <w:rPr>
          <w:rFonts w:ascii="Times New Roman" w:hAnsi="Times New Roman"/>
          <w:sz w:val="24"/>
          <w:szCs w:val="24"/>
          <w:lang w:val="nl-NL"/>
        </w:rPr>
        <w:t>dịch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khoán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chỉ</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quỹ</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đại</w:t>
      </w:r>
      <w:proofErr w:type="spellEnd"/>
      <w:r w:rsidRPr="00C626EB">
        <w:rPr>
          <w:rFonts w:ascii="Times New Roman" w:hAnsi="Times New Roman"/>
          <w:sz w:val="24"/>
          <w:szCs w:val="24"/>
          <w:lang w:val="nl-NL"/>
        </w:rPr>
        <w:t xml:space="preserve"> </w:t>
      </w:r>
      <w:proofErr w:type="spellStart"/>
      <w:proofErr w:type="gramStart"/>
      <w:r w:rsidRPr="00C626EB">
        <w:rPr>
          <w:rFonts w:ascii="Times New Roman" w:hAnsi="Times New Roman"/>
          <w:sz w:val="24"/>
          <w:szCs w:val="24"/>
          <w:lang w:val="nl-NL"/>
        </w:rPr>
        <w:t>chúng</w:t>
      </w:r>
      <w:proofErr w:type="spellEnd"/>
      <w:r w:rsidRPr="00C43F33">
        <w:rPr>
          <w:rFonts w:ascii="Times New Roman" w:hAnsi="Times New Roman"/>
          <w:sz w:val="24"/>
          <w:szCs w:val="24"/>
          <w:lang w:val="nl-NL"/>
        </w:rPr>
        <w:t>;</w:t>
      </w:r>
      <w:bookmarkEnd w:id="3"/>
      <w:proofErr w:type="gramEnd"/>
    </w:p>
    <w:p w14:paraId="575A2956" w14:textId="77777777" w:rsidR="005E77D1" w:rsidRPr="00C43F33" w:rsidRDefault="005E77D1" w:rsidP="00CC0FF9">
      <w:pPr>
        <w:pStyle w:val="ListParagraph"/>
        <w:numPr>
          <w:ilvl w:val="0"/>
          <w:numId w:val="8"/>
        </w:numPr>
        <w:shd w:val="clear" w:color="auto" w:fill="FFFFFF"/>
        <w:tabs>
          <w:tab w:val="left" w:pos="540"/>
        </w:tabs>
        <w:spacing w:before="120" w:line="240" w:lineRule="auto"/>
        <w:ind w:left="0" w:firstLine="360"/>
        <w:jc w:val="both"/>
        <w:rPr>
          <w:rFonts w:ascii="Times New Roman" w:hAnsi="Times New Roman"/>
          <w:sz w:val="24"/>
          <w:szCs w:val="24"/>
          <w:lang w:val="nl-NL"/>
        </w:rPr>
      </w:pPr>
      <w:bookmarkStart w:id="4" w:name="_Ref521351501"/>
      <w:proofErr w:type="spellStart"/>
      <w:r w:rsidRPr="00C626EB">
        <w:rPr>
          <w:rFonts w:ascii="Times New Roman" w:hAnsi="Times New Roman"/>
          <w:sz w:val="24"/>
          <w:szCs w:val="24"/>
          <w:lang w:val="nl-NL"/>
        </w:rPr>
        <w:t>Cổ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chào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lần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đầu</w:t>
      </w:r>
      <w:proofErr w:type="spellEnd"/>
      <w:r w:rsidRPr="00C626EB">
        <w:rPr>
          <w:rFonts w:ascii="Times New Roman" w:hAnsi="Times New Roman"/>
          <w:sz w:val="24"/>
          <w:szCs w:val="24"/>
          <w:lang w:val="nl-NL"/>
        </w:rPr>
        <w:t xml:space="preserve"> ra </w:t>
      </w:r>
      <w:proofErr w:type="spellStart"/>
      <w:r w:rsidRPr="00C626EB">
        <w:rPr>
          <w:rFonts w:ascii="Times New Roman" w:hAnsi="Times New Roman"/>
          <w:sz w:val="24"/>
          <w:szCs w:val="24"/>
          <w:lang w:val="nl-NL"/>
        </w:rPr>
        <w:t>công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chúng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chào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bán</w:t>
      </w:r>
      <w:proofErr w:type="spellEnd"/>
      <w:r w:rsidRPr="00C626EB">
        <w:rPr>
          <w:rFonts w:ascii="Times New Roman" w:hAnsi="Times New Roman"/>
          <w:sz w:val="24"/>
          <w:szCs w:val="24"/>
          <w:lang w:val="nl-NL"/>
        </w:rPr>
        <w:t xml:space="preserve"> ra </w:t>
      </w:r>
      <w:proofErr w:type="spellStart"/>
      <w:r w:rsidRPr="00C626EB">
        <w:rPr>
          <w:rFonts w:ascii="Times New Roman" w:hAnsi="Times New Roman"/>
          <w:sz w:val="24"/>
          <w:szCs w:val="24"/>
          <w:lang w:val="nl-NL"/>
        </w:rPr>
        <w:t>công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chúng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phiếu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doanh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nghiệp</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hành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riêng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lẻ</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bởi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niêm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yết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có</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bảo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lãnh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thanh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của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tín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dụng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hoặc</w:t>
      </w:r>
      <w:proofErr w:type="spellEnd"/>
      <w:r w:rsidRPr="00C626EB">
        <w:rPr>
          <w:rFonts w:ascii="Times New Roman" w:hAnsi="Times New Roman"/>
          <w:sz w:val="24"/>
          <w:szCs w:val="24"/>
          <w:lang w:val="nl-NL"/>
        </w:rPr>
        <w:t xml:space="preserve"> cam </w:t>
      </w:r>
      <w:proofErr w:type="spellStart"/>
      <w:r w:rsidRPr="00C626EB">
        <w:rPr>
          <w:rFonts w:ascii="Times New Roman" w:hAnsi="Times New Roman"/>
          <w:sz w:val="24"/>
          <w:szCs w:val="24"/>
          <w:lang w:val="nl-NL"/>
        </w:rPr>
        <w:t>kết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mua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của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hành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tối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thiểu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một</w:t>
      </w:r>
      <w:proofErr w:type="spellEnd"/>
      <w:r w:rsidRPr="00C626EB">
        <w:rPr>
          <w:rFonts w:ascii="Times New Roman" w:hAnsi="Times New Roman"/>
          <w:sz w:val="24"/>
          <w:szCs w:val="24"/>
          <w:lang w:val="nl-NL"/>
        </w:rPr>
        <w:t xml:space="preserve"> (01) </w:t>
      </w:r>
      <w:proofErr w:type="spellStart"/>
      <w:r w:rsidRPr="00C626EB">
        <w:rPr>
          <w:rFonts w:ascii="Times New Roman" w:hAnsi="Times New Roman"/>
          <w:sz w:val="24"/>
          <w:szCs w:val="24"/>
          <w:lang w:val="nl-NL"/>
        </w:rPr>
        <w:t>lần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trong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mười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hai</w:t>
      </w:r>
      <w:proofErr w:type="spellEnd"/>
      <w:r w:rsidRPr="00C626EB">
        <w:rPr>
          <w:rFonts w:ascii="Times New Roman" w:hAnsi="Times New Roman"/>
          <w:sz w:val="24"/>
          <w:szCs w:val="24"/>
          <w:lang w:val="nl-NL"/>
        </w:rPr>
        <w:t xml:space="preserve"> (12) </w:t>
      </w:r>
      <w:proofErr w:type="spellStart"/>
      <w:r w:rsidRPr="00C626EB">
        <w:rPr>
          <w:rFonts w:ascii="Times New Roman" w:hAnsi="Times New Roman"/>
          <w:sz w:val="24"/>
          <w:szCs w:val="24"/>
          <w:lang w:val="nl-NL"/>
        </w:rPr>
        <w:t>tháng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và</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mỗi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lần</w:t>
      </w:r>
      <w:proofErr w:type="spellEnd"/>
      <w:r w:rsidRPr="00C626EB">
        <w:rPr>
          <w:rFonts w:ascii="Times New Roman" w:hAnsi="Times New Roman"/>
          <w:sz w:val="24"/>
          <w:szCs w:val="24"/>
          <w:lang w:val="nl-NL"/>
        </w:rPr>
        <w:t xml:space="preserve"> cam </w:t>
      </w:r>
      <w:proofErr w:type="spellStart"/>
      <w:r w:rsidRPr="00C626EB">
        <w:rPr>
          <w:rFonts w:ascii="Times New Roman" w:hAnsi="Times New Roman"/>
          <w:sz w:val="24"/>
          <w:szCs w:val="24"/>
          <w:lang w:val="nl-NL"/>
        </w:rPr>
        <w:t>kết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mua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tối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thiểu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mươi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phần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trăm</w:t>
      </w:r>
      <w:proofErr w:type="spellEnd"/>
      <w:r w:rsidRPr="00C626EB">
        <w:rPr>
          <w:rFonts w:ascii="Times New Roman" w:hAnsi="Times New Roman"/>
          <w:sz w:val="24"/>
          <w:szCs w:val="24"/>
          <w:lang w:val="nl-NL"/>
        </w:rPr>
        <w:t xml:space="preserve"> (30%) </w:t>
      </w:r>
      <w:proofErr w:type="spellStart"/>
      <w:r w:rsidRPr="00C626EB">
        <w:rPr>
          <w:rFonts w:ascii="Times New Roman" w:hAnsi="Times New Roman"/>
          <w:sz w:val="24"/>
          <w:szCs w:val="24"/>
          <w:lang w:val="nl-NL"/>
        </w:rPr>
        <w:t>giá</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trị</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đợt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hành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Việc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đầu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tư</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vào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các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tài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sản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điểm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này</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phải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đáp</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các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điều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kiện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sau</w:t>
      </w:r>
      <w:proofErr w:type="spellEnd"/>
      <w:r w:rsidRPr="00C43F33">
        <w:rPr>
          <w:rFonts w:ascii="Times New Roman" w:hAnsi="Times New Roman"/>
          <w:sz w:val="24"/>
          <w:szCs w:val="24"/>
          <w:lang w:val="nl-NL"/>
        </w:rPr>
        <w:t>:</w:t>
      </w:r>
      <w:bookmarkEnd w:id="4"/>
    </w:p>
    <w:p w14:paraId="38F0B81C" w14:textId="77777777" w:rsidR="005E77D1" w:rsidRPr="00C43F33" w:rsidRDefault="005E77D1" w:rsidP="00CC0FF9">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lastRenderedPageBreak/>
        <w:t xml:space="preserve">Có sự chấp thuận bằng văn bản của Ban Đại diện Quỹ về loại, mã chứng khoán, số lượng, giá trị giao dịch, thời điểm thực hiện; </w:t>
      </w:r>
      <w:proofErr w:type="spellStart"/>
      <w:r w:rsidRPr="00C626EB">
        <w:rPr>
          <w:rFonts w:ascii="Times New Roman" w:hAnsi="Times New Roman"/>
          <w:sz w:val="24"/>
          <w:szCs w:val="24"/>
          <w:lang w:val="nl-NL"/>
        </w:rPr>
        <w:t>có</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quy</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định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Bản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Cáo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bạch</w:t>
      </w:r>
      <w:proofErr w:type="spellEnd"/>
      <w:r>
        <w:rPr>
          <w:rFonts w:ascii="Times New Roman" w:hAnsi="Times New Roman"/>
          <w:sz w:val="24"/>
          <w:szCs w:val="24"/>
          <w:lang w:val="nl-NL"/>
        </w:rPr>
        <w:t xml:space="preserve">; </w:t>
      </w:r>
      <w:r w:rsidRPr="00C43F33">
        <w:rPr>
          <w:rFonts w:ascii="Times New Roman" w:hAnsi="Times New Roman"/>
          <w:sz w:val="24"/>
          <w:szCs w:val="24"/>
          <w:lang w:val="nl-NL"/>
        </w:rPr>
        <w:t>và</w:t>
      </w:r>
    </w:p>
    <w:p w14:paraId="05D3EB48" w14:textId="77777777" w:rsidR="005E77D1" w:rsidRPr="00C43F33" w:rsidRDefault="005E77D1" w:rsidP="00CC0FF9">
      <w:pPr>
        <w:pStyle w:val="ListParagraph"/>
        <w:numPr>
          <w:ilvl w:val="1"/>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Có</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đủ</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tài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liệu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minh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về</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bảo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lãnh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thanh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hoặc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tài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liệu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về</w:t>
      </w:r>
      <w:proofErr w:type="spellEnd"/>
      <w:r w:rsidRPr="00C626EB">
        <w:rPr>
          <w:rFonts w:ascii="Times New Roman" w:hAnsi="Times New Roman"/>
          <w:sz w:val="24"/>
          <w:szCs w:val="24"/>
          <w:lang w:val="nl-NL"/>
        </w:rPr>
        <w:t xml:space="preserve"> cam </w:t>
      </w:r>
      <w:proofErr w:type="spellStart"/>
      <w:r w:rsidRPr="00C626EB">
        <w:rPr>
          <w:rFonts w:ascii="Times New Roman" w:hAnsi="Times New Roman"/>
          <w:sz w:val="24"/>
          <w:szCs w:val="24"/>
          <w:lang w:val="nl-NL"/>
        </w:rPr>
        <w:t>kết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mua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lại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của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tổ</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hành</w:t>
      </w:r>
      <w:proofErr w:type="spellEnd"/>
      <w:r w:rsidRPr="00C43F33">
        <w:rPr>
          <w:rFonts w:ascii="Times New Roman" w:hAnsi="Times New Roman"/>
          <w:sz w:val="24"/>
          <w:szCs w:val="24"/>
          <w:lang w:val="nl-NL"/>
        </w:rPr>
        <w:t>.</w:t>
      </w:r>
    </w:p>
    <w:p w14:paraId="2DF5EC38"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khoán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sinh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niêm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yết</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giao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dịch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tại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Sở</w:t>
      </w:r>
      <w:proofErr w:type="spellEnd"/>
      <w:r w:rsidRPr="00C626EB">
        <w:rPr>
          <w:rFonts w:ascii="Times New Roman" w:hAnsi="Times New Roman"/>
          <w:sz w:val="24"/>
          <w:szCs w:val="24"/>
          <w:lang w:val="nl-NL"/>
        </w:rPr>
        <w:t xml:space="preserve"> Giao </w:t>
      </w:r>
      <w:proofErr w:type="spellStart"/>
      <w:r w:rsidRPr="00C626EB">
        <w:rPr>
          <w:rFonts w:ascii="Times New Roman" w:hAnsi="Times New Roman"/>
          <w:sz w:val="24"/>
          <w:szCs w:val="24"/>
          <w:lang w:val="nl-NL"/>
        </w:rPr>
        <w:t>dịch</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khoán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và</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chỉ</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nhằm</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mục</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tiêu</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phòng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ngừa</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rủi</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ro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cho</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chứng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khoán</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cơ</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sở</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mà</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Quỹ</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đang</w:t>
      </w:r>
      <w:proofErr w:type="spellEnd"/>
      <w:r w:rsidRPr="00C626EB">
        <w:rPr>
          <w:rFonts w:ascii="Times New Roman" w:hAnsi="Times New Roman"/>
          <w:sz w:val="24"/>
          <w:szCs w:val="24"/>
          <w:lang w:val="nl-NL"/>
        </w:rPr>
        <w:t xml:space="preserve"> </w:t>
      </w:r>
      <w:proofErr w:type="spellStart"/>
      <w:r w:rsidRPr="00C626EB">
        <w:rPr>
          <w:rFonts w:ascii="Times New Roman" w:hAnsi="Times New Roman"/>
          <w:sz w:val="24"/>
          <w:szCs w:val="24"/>
          <w:lang w:val="nl-NL"/>
        </w:rPr>
        <w:t>nắm</w:t>
      </w:r>
      <w:proofErr w:type="spellEnd"/>
      <w:r w:rsidRPr="00C626EB">
        <w:rPr>
          <w:rFonts w:ascii="Times New Roman" w:hAnsi="Times New Roman"/>
          <w:sz w:val="24"/>
          <w:szCs w:val="24"/>
          <w:lang w:val="nl-NL"/>
        </w:rPr>
        <w:t xml:space="preserve"> </w:t>
      </w:r>
      <w:proofErr w:type="spellStart"/>
      <w:proofErr w:type="gramStart"/>
      <w:r w:rsidRPr="00C626EB">
        <w:rPr>
          <w:rFonts w:ascii="Times New Roman" w:hAnsi="Times New Roman"/>
          <w:sz w:val="24"/>
          <w:szCs w:val="24"/>
          <w:lang w:val="nl-NL"/>
        </w:rPr>
        <w:t>giữ</w:t>
      </w:r>
      <w:proofErr w:type="spellEnd"/>
      <w:r w:rsidRPr="00C43F33">
        <w:rPr>
          <w:rFonts w:ascii="Times New Roman" w:hAnsi="Times New Roman"/>
          <w:sz w:val="24"/>
          <w:szCs w:val="24"/>
          <w:lang w:val="nl-NL"/>
        </w:rPr>
        <w:t>;</w:t>
      </w:r>
      <w:proofErr w:type="gramEnd"/>
    </w:p>
    <w:p w14:paraId="4E73E9A0" w14:textId="77777777" w:rsidR="005E77D1" w:rsidRPr="00C43F33" w:rsidRDefault="005E77D1" w:rsidP="00CC0FF9">
      <w:pPr>
        <w:pStyle w:val="ListParagraph"/>
        <w:numPr>
          <w:ilvl w:val="0"/>
          <w:numId w:val="8"/>
        </w:numPr>
        <w:shd w:val="clear" w:color="auto" w:fill="FFFFFF"/>
        <w:tabs>
          <w:tab w:val="left" w:pos="540"/>
        </w:tabs>
        <w:spacing w:before="120" w:after="0" w:line="240" w:lineRule="auto"/>
        <w:ind w:left="0" w:firstLine="360"/>
        <w:jc w:val="both"/>
        <w:rPr>
          <w:rFonts w:ascii="Times New Roman" w:hAnsi="Times New Roman"/>
          <w:sz w:val="24"/>
          <w:szCs w:val="24"/>
          <w:lang w:val="nl-NL"/>
        </w:rPr>
      </w:pPr>
      <w:r w:rsidRPr="00C43F33">
        <w:rPr>
          <w:rFonts w:ascii="Times New Roman" w:hAnsi="Times New Roman"/>
          <w:sz w:val="24"/>
          <w:szCs w:val="24"/>
          <w:lang w:val="nl-NL"/>
        </w:rPr>
        <w:t>Quyền phát sinh gắn liền với chứng khoán mà Quỹ đang nắm giữ.</w:t>
      </w:r>
    </w:p>
    <w:p w14:paraId="4FD66B54" w14:textId="77777777" w:rsidR="005E77D1" w:rsidRPr="00C43F33"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6FE044F0" w14:textId="77777777" w:rsidR="005E77D1" w:rsidRPr="00C43F33" w:rsidRDefault="005E77D1" w:rsidP="005E77D1">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E77D1" w:rsidRPr="00C43F33" w14:paraId="25223411" w14:textId="77777777" w:rsidTr="004F6620">
        <w:trPr>
          <w:trHeight w:val="507"/>
        </w:trPr>
        <w:tc>
          <w:tcPr>
            <w:tcW w:w="4140" w:type="dxa"/>
            <w:shd w:val="clear" w:color="auto" w:fill="D9D9D9" w:themeFill="background1" w:themeFillShade="D9"/>
          </w:tcPr>
          <w:p w14:paraId="09C199B6" w14:textId="77777777" w:rsidR="005E77D1" w:rsidRPr="00C43F33" w:rsidRDefault="005E77D1" w:rsidP="004F662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3328B98" w14:textId="77777777" w:rsidR="005E77D1" w:rsidRPr="00C43F33" w:rsidRDefault="005E77D1" w:rsidP="004F662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E77D1" w:rsidRPr="00C43F33" w14:paraId="49D83A08" w14:textId="77777777" w:rsidTr="004F6620">
        <w:trPr>
          <w:trHeight w:val="260"/>
        </w:trPr>
        <w:tc>
          <w:tcPr>
            <w:tcW w:w="4140" w:type="dxa"/>
          </w:tcPr>
          <w:p w14:paraId="2C342E98"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68EC3C75"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E77D1" w:rsidRPr="00C43F33" w14:paraId="00A3C2F4" w14:textId="77777777" w:rsidTr="004F6620">
        <w:trPr>
          <w:trHeight w:val="507"/>
        </w:trPr>
        <w:tc>
          <w:tcPr>
            <w:tcW w:w="4140" w:type="dxa"/>
          </w:tcPr>
          <w:p w14:paraId="07372378"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69586EE9"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E77D1" w:rsidRPr="00C43F33" w14:paraId="3BF43270" w14:textId="77777777" w:rsidTr="004F6620">
        <w:trPr>
          <w:trHeight w:val="760"/>
        </w:trPr>
        <w:tc>
          <w:tcPr>
            <w:tcW w:w="4140" w:type="dxa"/>
          </w:tcPr>
          <w:p w14:paraId="257ACA1B"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72A841E0" w14:textId="77777777" w:rsidR="005E77D1" w:rsidRPr="00C43F33" w:rsidRDefault="005E77D1" w:rsidP="004F662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77777777" w:rsidR="005E77D1" w:rsidRPr="00C43F33" w:rsidRDefault="005E77D1" w:rsidP="005E77D1">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4. Phân loại Quỹ:</w:t>
      </w:r>
    </w:p>
    <w:p w14:paraId="7DF2A06F"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được thành lập tại Việt Nam dưới hình thức Quỹ mở theo Giấy chứng nhận thành lập Quỹ mở số 34/GCN-UBCK do Ủy ban Chứng khoán Nhà nước cấp ngày 03 tháng 01 năm 2019.</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626EB">
        <w:rPr>
          <w:rFonts w:ascii="Times New Roman" w:hAnsi="Times New Roman"/>
          <w:b/>
          <w:sz w:val="24"/>
          <w:szCs w:val="24"/>
          <w:lang w:val="nl-NL"/>
        </w:rPr>
        <w:t>6. Mức độ rủi ro ngắn hạn (thấp, trung bình, cao):</w:t>
      </w:r>
    </w:p>
    <w:p w14:paraId="68F2CFC1" w14:textId="77777777" w:rsidR="00CC0FF9" w:rsidRPr="00C43F33"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 xml:space="preserve">Mức độ rủi ro ngắn hạn trung bình. </w:t>
      </w:r>
    </w:p>
    <w:p w14:paraId="46191EF1" w14:textId="77777777" w:rsidR="00CC0FF9" w:rsidRPr="00C43F33"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3C1B9E63" w14:textId="36BBDF05" w:rsidR="00A90AB7" w:rsidRPr="00A90AB7" w:rsidRDefault="00CC0FF9" w:rsidP="00087AE7">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6D81FBB"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C626EB">
        <w:rPr>
          <w:rFonts w:ascii="Times New Roman" w:hAnsi="Times New Roman"/>
          <w:b/>
          <w:sz w:val="24"/>
          <w:szCs w:val="24"/>
          <w:lang w:val="nl-NL"/>
        </w:rPr>
        <w:lastRenderedPageBreak/>
        <w:t>8. Quy mô Quỹ tại thời điểm báo cáo</w:t>
      </w:r>
    </w:p>
    <w:p w14:paraId="3FD6761E" w14:textId="7DF28BE3"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Tại ngày 3</w:t>
      </w:r>
      <w:r w:rsidR="007104D6">
        <w:rPr>
          <w:rFonts w:ascii="Times New Roman" w:hAnsi="Times New Roman"/>
          <w:sz w:val="24"/>
          <w:szCs w:val="24"/>
          <w:lang w:val="nl-NL"/>
        </w:rPr>
        <w:t>0</w:t>
      </w:r>
      <w:r w:rsidRPr="00A90AB7">
        <w:rPr>
          <w:rFonts w:ascii="Times New Roman" w:hAnsi="Times New Roman"/>
          <w:sz w:val="24"/>
          <w:szCs w:val="24"/>
          <w:lang w:val="nl-NL"/>
        </w:rPr>
        <w:t xml:space="preserve"> tháng </w:t>
      </w:r>
      <w:r w:rsidR="000D074B">
        <w:rPr>
          <w:rFonts w:ascii="Times New Roman" w:hAnsi="Times New Roman"/>
          <w:sz w:val="24"/>
          <w:szCs w:val="24"/>
          <w:lang w:val="nl-NL"/>
        </w:rPr>
        <w:t>0</w:t>
      </w:r>
      <w:r w:rsidR="007104D6">
        <w:rPr>
          <w:rFonts w:ascii="Times New Roman" w:hAnsi="Times New Roman"/>
          <w:sz w:val="24"/>
          <w:szCs w:val="24"/>
          <w:lang w:val="nl-NL"/>
        </w:rPr>
        <w:t>6</w:t>
      </w:r>
      <w:r w:rsidRPr="00A90AB7">
        <w:rPr>
          <w:rFonts w:ascii="Times New Roman" w:hAnsi="Times New Roman"/>
          <w:sz w:val="24"/>
          <w:szCs w:val="24"/>
          <w:lang w:val="nl-NL"/>
        </w:rPr>
        <w:t xml:space="preserve"> năm 20</w:t>
      </w:r>
      <w:r w:rsidR="0001588B" w:rsidRPr="00A90AB7">
        <w:rPr>
          <w:rFonts w:ascii="Times New Roman" w:hAnsi="Times New Roman"/>
          <w:sz w:val="24"/>
          <w:szCs w:val="24"/>
          <w:lang w:val="nl-NL"/>
        </w:rPr>
        <w:t>2</w:t>
      </w:r>
      <w:r w:rsidR="000D074B">
        <w:rPr>
          <w:rFonts w:ascii="Times New Roman" w:hAnsi="Times New Roman"/>
          <w:sz w:val="24"/>
          <w:szCs w:val="24"/>
          <w:lang w:val="nl-NL"/>
        </w:rPr>
        <w:t>1</w:t>
      </w:r>
      <w:r w:rsidRPr="00A90AB7">
        <w:rPr>
          <w:rFonts w:ascii="Times New Roman" w:hAnsi="Times New Roman"/>
          <w:sz w:val="24"/>
          <w:szCs w:val="24"/>
          <w:lang w:val="nl-NL"/>
        </w:rPr>
        <w:t xml:space="preserve">, số lượng Chứng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 xml:space="preserve">uỹ (“CCQ”) đang lưu hành của Quỹ là </w:t>
      </w:r>
      <w:r w:rsidR="001B0B30" w:rsidRPr="00A90AB7">
        <w:rPr>
          <w:rFonts w:ascii="Times New Roman" w:hAnsi="Times New Roman"/>
          <w:sz w:val="24"/>
          <w:szCs w:val="24"/>
          <w:lang w:val="nl-NL"/>
        </w:rPr>
        <w:t xml:space="preserve"> </w:t>
      </w:r>
      <w:r w:rsidR="000600E0" w:rsidRPr="00A90AB7">
        <w:rPr>
          <w:rFonts w:ascii="Times New Roman" w:hAnsi="Times New Roman"/>
          <w:sz w:val="24"/>
          <w:szCs w:val="24"/>
          <w:lang w:val="nl-NL"/>
        </w:rPr>
        <w:t xml:space="preserve"> </w:t>
      </w:r>
      <w:r w:rsidR="00B17BB1" w:rsidRPr="00B17BB1">
        <w:rPr>
          <w:rFonts w:ascii="Times New Roman" w:hAnsi="Times New Roman"/>
          <w:sz w:val="24"/>
          <w:szCs w:val="24"/>
          <w:lang w:val="nl-NL"/>
        </w:rPr>
        <w:t xml:space="preserve"> </w:t>
      </w:r>
      <w:r w:rsidR="00E117F3" w:rsidRPr="00E117F3">
        <w:rPr>
          <w:rFonts w:ascii="Times New Roman" w:hAnsi="Times New Roman"/>
          <w:sz w:val="24"/>
          <w:szCs w:val="24"/>
          <w:lang w:val="nl-NL"/>
        </w:rPr>
        <w:t xml:space="preserve"> 8,754,989.87 </w:t>
      </w:r>
      <w:r w:rsidRPr="00A90AB7">
        <w:rPr>
          <w:rFonts w:ascii="Times New Roman" w:hAnsi="Times New Roman"/>
          <w:sz w:val="24"/>
          <w:szCs w:val="24"/>
          <w:lang w:val="nl-NL"/>
        </w:rPr>
        <w:t>CCQ, tương đương với quy mô vốn của Quỹ theo mệnh giá là</w:t>
      </w:r>
      <w:r w:rsidR="00E117F3" w:rsidRPr="00E117F3">
        <w:rPr>
          <w:rFonts w:ascii="Times New Roman" w:hAnsi="Times New Roman"/>
          <w:sz w:val="24"/>
          <w:szCs w:val="24"/>
          <w:lang w:val="nl-NL"/>
        </w:rPr>
        <w:t xml:space="preserve"> </w:t>
      </w:r>
      <w:r w:rsidR="00E117F3" w:rsidRPr="00C626EB">
        <w:rPr>
          <w:rFonts w:ascii="Times New Roman" w:hAnsi="Times New Roman"/>
          <w:sz w:val="24"/>
          <w:szCs w:val="24"/>
          <w:lang w:val="nl-NL"/>
        </w:rPr>
        <w:t>87,549,898,700</w:t>
      </w:r>
      <w:r w:rsidRPr="00C626EB">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A90AB7"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C626EB">
        <w:rPr>
          <w:rFonts w:ascii="Times New Roman" w:hAnsi="Times New Roman"/>
          <w:b/>
          <w:sz w:val="24"/>
          <w:szCs w:val="24"/>
          <w:lang w:val="nl-NL"/>
        </w:rPr>
        <w:t>10. Chính sách phân phối lợi nhuận của Quỹ:</w:t>
      </w:r>
    </w:p>
    <w:p w14:paraId="12C1E567" w14:textId="77777777" w:rsidR="005E77D1" w:rsidRPr="00A90AB7"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sz w:val="24"/>
          <w:szCs w:val="24"/>
          <w:lang w:val="nl-NL"/>
        </w:rPr>
        <w:t xml:space="preserve">Như đã được đề cập trong Bản Cáo bạch, Quỹ </w:t>
      </w:r>
      <w:r>
        <w:rPr>
          <w:rFonts w:ascii="Times New Roman" w:hAnsi="Times New Roman"/>
          <w:sz w:val="24"/>
          <w:szCs w:val="24"/>
          <w:lang w:val="nl-NL"/>
        </w:rPr>
        <w:t xml:space="preserve">DFVN-CAF là một quỹ </w:t>
      </w:r>
      <w:r w:rsidRPr="00A90AB7">
        <w:rPr>
          <w:rFonts w:ascii="Times New Roman" w:hAnsi="Times New Roman"/>
          <w:sz w:val="24"/>
          <w:szCs w:val="24"/>
          <w:lang w:val="nl-NL"/>
        </w:rPr>
        <w:t xml:space="preserve">đầu tư chủ yếu vào cổ phiếu với mục tiêu chính là tăng trưởng giá trị vốn trong giai đoạn trung và dài hạn; do đó Quỹ có hạn chế trong việc chia cổ tức.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r w:rsidRPr="00A90AB7" w:rsidDel="00091CAB">
        <w:rPr>
          <w:rFonts w:ascii="Times New Roman" w:hAnsi="Times New Roman"/>
          <w:sz w:val="24"/>
          <w:szCs w:val="24"/>
          <w:lang w:val="nl-NL"/>
        </w:rPr>
        <w:t xml:space="preserve"> </w:t>
      </w:r>
    </w:p>
    <w:p w14:paraId="338A57B7"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Việc</w:t>
      </w:r>
      <w:proofErr w:type="spellEnd"/>
      <w:r w:rsidRPr="006D784A">
        <w:rPr>
          <w:rFonts w:ascii="Times New Roman" w:hAnsi="Times New Roman"/>
          <w:sz w:val="24"/>
          <w:szCs w:val="24"/>
        </w:rPr>
        <w:t xml:space="preserve"> chi </w:t>
      </w:r>
      <w:proofErr w:type="spellStart"/>
      <w:r w:rsidRPr="006D784A">
        <w:rPr>
          <w:rFonts w:ascii="Times New Roman" w:hAnsi="Times New Roman"/>
          <w:sz w:val="24"/>
          <w:szCs w:val="24"/>
        </w:rPr>
        <w:t>trả</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bảo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đảm</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nguyên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tắc</w:t>
      </w:r>
      <w:proofErr w:type="spellEnd"/>
      <w:r w:rsidRPr="006D784A">
        <w:rPr>
          <w:rFonts w:ascii="Times New Roman" w:hAnsi="Times New Roman"/>
          <w:sz w:val="24"/>
          <w:szCs w:val="24"/>
        </w:rPr>
        <w:t>:</w:t>
      </w:r>
    </w:p>
    <w:p w14:paraId="5D53E344"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5" w:name="_Hlk68090324"/>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lũy</w:t>
      </w:r>
      <w:proofErr w:type="spellEnd"/>
      <w:r>
        <w:rPr>
          <w:rFonts w:ascii="Times New Roman" w:hAnsi="Times New Roman"/>
          <w:sz w:val="24"/>
          <w:szCs w:val="24"/>
        </w:rPr>
        <w:t xml:space="preserve">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mọi</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luật</w:t>
      </w:r>
      <w:bookmarkEnd w:id="5"/>
      <w:proofErr w:type="spellEnd"/>
      <w:r>
        <w:rPr>
          <w:rFonts w:ascii="Times New Roman" w:hAnsi="Times New Roman"/>
          <w:sz w:val="24"/>
          <w:szCs w:val="24"/>
        </w:rPr>
        <w:t>;</w:t>
      </w:r>
      <w:proofErr w:type="gramEnd"/>
    </w:p>
    <w:p w14:paraId="76429518"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6" w:name="_Hlk68090334"/>
      <w:proofErr w:type="spellStart"/>
      <w:r>
        <w:rPr>
          <w:rFonts w:ascii="Times New Roman" w:hAnsi="Times New Roman"/>
          <w:sz w:val="24"/>
          <w:szCs w:val="24"/>
        </w:rPr>
        <w:t>Mức</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phù</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lệ</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thông</w:t>
      </w:r>
      <w:proofErr w:type="spellEnd"/>
      <w:r>
        <w:rPr>
          <w:rFonts w:ascii="Times New Roman" w:hAnsi="Times New Roman"/>
          <w:sz w:val="24"/>
          <w:szCs w:val="24"/>
        </w:rPr>
        <w:t xml:space="preserve"> </w:t>
      </w:r>
      <w:proofErr w:type="gramStart"/>
      <w:r>
        <w:rPr>
          <w:rFonts w:ascii="Times New Roman" w:hAnsi="Times New Roman"/>
          <w:sz w:val="24"/>
          <w:szCs w:val="24"/>
        </w:rPr>
        <w:t>qua</w:t>
      </w:r>
      <w:bookmarkEnd w:id="6"/>
      <w:r>
        <w:rPr>
          <w:rFonts w:ascii="Times New Roman" w:hAnsi="Times New Roman"/>
          <w:sz w:val="24"/>
          <w:szCs w:val="24"/>
        </w:rPr>
        <w:t>;</w:t>
      </w:r>
      <w:proofErr w:type="gramEnd"/>
    </w:p>
    <w:p w14:paraId="735EC169"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7" w:name="_Hlk68090345"/>
      <w:r>
        <w:rPr>
          <w:rFonts w:ascii="Times New Roman" w:hAnsi="Times New Roman"/>
          <w:sz w:val="24"/>
          <w:szCs w:val="24"/>
        </w:rPr>
        <w:t xml:space="preserve">Sau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nợ</w:t>
      </w:r>
      <w:proofErr w:type="spellEnd"/>
      <w:r>
        <w:rPr>
          <w:rFonts w:ascii="Times New Roman" w:hAnsi="Times New Roman"/>
          <w:sz w:val="24"/>
          <w:szCs w:val="24"/>
        </w:rPr>
        <w:t xml:space="preserve">, </w:t>
      </w:r>
      <w:proofErr w:type="spellStart"/>
      <w:r>
        <w:rPr>
          <w:rFonts w:ascii="Times New Roman" w:hAnsi="Times New Roman"/>
          <w:sz w:val="24"/>
          <w:szCs w:val="24"/>
        </w:rPr>
        <w:t>nghĩa</w:t>
      </w:r>
      <w:proofErr w:type="spellEnd"/>
      <w:r>
        <w:rPr>
          <w:rFonts w:ascii="Times New Roman" w:hAnsi="Times New Roman"/>
          <w:sz w:val="24"/>
          <w:szCs w:val="24"/>
        </w:rPr>
        <w:t xml:space="preserve"> </w:t>
      </w:r>
      <w:proofErr w:type="spellStart"/>
      <w:r>
        <w:rPr>
          <w:rFonts w:ascii="Times New Roman" w:hAnsi="Times New Roman"/>
          <w:sz w:val="24"/>
          <w:szCs w:val="24"/>
        </w:rPr>
        <w:t>vụ</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chi </w:t>
      </w:r>
      <w:proofErr w:type="spellStart"/>
      <w:r>
        <w:rPr>
          <w:rFonts w:ascii="Times New Roman" w:hAnsi="Times New Roman"/>
          <w:sz w:val="24"/>
          <w:szCs w:val="24"/>
        </w:rPr>
        <w:t>trả</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mươi</w:t>
      </w:r>
      <w:proofErr w:type="spellEnd"/>
      <w:r>
        <w:rPr>
          <w:rFonts w:ascii="Times New Roman" w:hAnsi="Times New Roman"/>
          <w:sz w:val="24"/>
          <w:szCs w:val="24"/>
        </w:rPr>
        <w:t xml:space="preserve"> (50)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đồng</w:t>
      </w:r>
      <w:bookmarkEnd w:id="7"/>
      <w:proofErr w:type="spellEnd"/>
      <w:r>
        <w:rPr>
          <w:rFonts w:ascii="Times New Roman" w:hAnsi="Times New Roman"/>
          <w:sz w:val="24"/>
          <w:szCs w:val="24"/>
        </w:rPr>
        <w:t>;</w:t>
      </w:r>
      <w:proofErr w:type="gramEnd"/>
    </w:p>
    <w:p w14:paraId="152ED78D" w14:textId="77777777" w:rsidR="005E77D1" w:rsidRDefault="005E77D1" w:rsidP="005E77D1">
      <w:pPr>
        <w:pStyle w:val="ListParagraph"/>
        <w:numPr>
          <w:ilvl w:val="0"/>
          <w:numId w:val="12"/>
        </w:numPr>
        <w:spacing w:before="120" w:after="120"/>
        <w:ind w:left="540" w:hanging="540"/>
        <w:contextualSpacing w:val="0"/>
        <w:jc w:val="both"/>
        <w:rPr>
          <w:rFonts w:ascii="Times New Roman" w:hAnsi="Times New Roman"/>
          <w:sz w:val="24"/>
          <w:szCs w:val="24"/>
        </w:rPr>
      </w:pPr>
      <w:bookmarkStart w:id="8" w:name="_Hlk68090363"/>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đủ</w:t>
      </w:r>
      <w:proofErr w:type="spellEnd"/>
      <w:r>
        <w:rPr>
          <w:rFonts w:ascii="Times New Roman" w:hAnsi="Times New Roman"/>
          <w:sz w:val="24"/>
          <w:szCs w:val="24"/>
        </w:rPr>
        <w:t xml:space="preserve"> </w:t>
      </w:r>
      <w:proofErr w:type="spellStart"/>
      <w:r>
        <w:rPr>
          <w:rFonts w:ascii="Times New Roman" w:hAnsi="Times New Roman"/>
          <w:sz w:val="24"/>
          <w:szCs w:val="24"/>
        </w:rPr>
        <w:t>nguồn</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thuế</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xét</w:t>
      </w:r>
      <w:bookmarkEnd w:id="8"/>
      <w:proofErr w:type="spellEnd"/>
      <w:r>
        <w:rPr>
          <w:rFonts w:ascii="Times New Roman" w:hAnsi="Times New Roman"/>
          <w:sz w:val="24"/>
          <w:szCs w:val="24"/>
        </w:rPr>
        <w:t>.</w:t>
      </w:r>
    </w:p>
    <w:p w14:paraId="4110002F"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Hình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thức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phối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tiền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hoặc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Việc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chia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bằng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sự</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chấp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trước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hội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hoặc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sự</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chấp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Ban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diện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nếu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hội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gần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nhất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đã</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ủy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cho</w:t>
      </w:r>
      <w:proofErr w:type="spellEnd"/>
      <w:r w:rsidRPr="006D784A">
        <w:rPr>
          <w:rFonts w:ascii="Times New Roman" w:hAnsi="Times New Roman"/>
          <w:sz w:val="24"/>
          <w:szCs w:val="24"/>
        </w:rPr>
        <w:t xml:space="preserve"> Ban </w:t>
      </w:r>
      <w:proofErr w:type="spellStart"/>
      <w:r w:rsidRPr="006D784A">
        <w:rPr>
          <w:rFonts w:ascii="Times New Roman" w:hAnsi="Times New Roman"/>
          <w:sz w:val="24"/>
          <w:szCs w:val="24"/>
        </w:rPr>
        <w:t>Đại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diện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Chỉ</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những</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có</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trên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danh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sách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sở</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hữu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Đơn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vị</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tại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ngày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chốt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quyền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mới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được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Cổ</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tức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từ</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w:t>
      </w:r>
    </w:p>
    <w:p w14:paraId="1DE3DB40" w14:textId="77777777" w:rsidR="005E77D1" w:rsidRPr="006D784A" w:rsidRDefault="005E77D1" w:rsidP="005E77D1">
      <w:pPr>
        <w:spacing w:before="120" w:after="120"/>
        <w:jc w:val="both"/>
        <w:rPr>
          <w:rFonts w:ascii="Times New Roman" w:hAnsi="Times New Roman"/>
          <w:sz w:val="24"/>
          <w:szCs w:val="24"/>
        </w:rPr>
      </w:pPr>
      <w:proofErr w:type="spellStart"/>
      <w:r w:rsidRPr="006D784A">
        <w:rPr>
          <w:rFonts w:ascii="Times New Roman" w:hAnsi="Times New Roman"/>
          <w:sz w:val="24"/>
          <w:szCs w:val="24"/>
        </w:rPr>
        <w:t>Công</w:t>
      </w:r>
      <w:proofErr w:type="spellEnd"/>
      <w:r w:rsidRPr="006D784A">
        <w:rPr>
          <w:rFonts w:ascii="Times New Roman" w:hAnsi="Times New Roman"/>
          <w:sz w:val="24"/>
          <w:szCs w:val="24"/>
        </w:rPr>
        <w:t xml:space="preserve"> ty </w:t>
      </w:r>
      <w:proofErr w:type="spellStart"/>
      <w:r w:rsidRPr="006D784A">
        <w:rPr>
          <w:rFonts w:ascii="Times New Roman" w:hAnsi="Times New Roman"/>
          <w:sz w:val="24"/>
          <w:szCs w:val="24"/>
        </w:rPr>
        <w:t>Quản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lý</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Quỹ</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khấu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trừ</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mọi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khoản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thuế</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phí</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lệ</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phí</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theo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quy</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định</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của</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Pháp</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luật</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trước</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khi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phân</w:t>
      </w:r>
      <w:proofErr w:type="spellEnd"/>
      <w:r w:rsidRPr="006D784A">
        <w:rPr>
          <w:rFonts w:ascii="Times New Roman" w:hAnsi="Times New Roman"/>
          <w:sz w:val="24"/>
          <w:szCs w:val="24"/>
        </w:rPr>
        <w:t xml:space="preserve"> chia </w:t>
      </w:r>
      <w:proofErr w:type="spellStart"/>
      <w:r w:rsidRPr="006D784A">
        <w:rPr>
          <w:rFonts w:ascii="Times New Roman" w:hAnsi="Times New Roman"/>
          <w:sz w:val="24"/>
          <w:szCs w:val="24"/>
        </w:rPr>
        <w:t>lợi</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nhuận</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cho</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Nhà</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đầu</w:t>
      </w:r>
      <w:proofErr w:type="spellEnd"/>
      <w:r w:rsidRPr="006D784A">
        <w:rPr>
          <w:rFonts w:ascii="Times New Roman" w:hAnsi="Times New Roman"/>
          <w:sz w:val="24"/>
          <w:szCs w:val="24"/>
        </w:rPr>
        <w:t xml:space="preserve"> </w:t>
      </w:r>
      <w:proofErr w:type="spellStart"/>
      <w:r w:rsidRPr="006D784A">
        <w:rPr>
          <w:rFonts w:ascii="Times New Roman" w:hAnsi="Times New Roman"/>
          <w:sz w:val="24"/>
          <w:szCs w:val="24"/>
        </w:rPr>
        <w:t>tư</w:t>
      </w:r>
      <w:proofErr w:type="spellEnd"/>
      <w:r w:rsidRPr="006D784A">
        <w:rPr>
          <w:rFonts w:ascii="Times New Roman" w:hAnsi="Times New Roman"/>
          <w:sz w:val="24"/>
          <w:szCs w:val="24"/>
        </w:rPr>
        <w:t>.</w:t>
      </w:r>
    </w:p>
    <w:p w14:paraId="495EE75D" w14:textId="17E5A13C" w:rsidR="005E77D1" w:rsidRDefault="005E77D1" w:rsidP="005E77D1">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B830A2">
        <w:rPr>
          <w:rFonts w:ascii="Times New Roman" w:hAnsi="Times New Roman"/>
          <w:sz w:val="24"/>
          <w:szCs w:val="24"/>
        </w:rPr>
        <w:t>Công</w:t>
      </w:r>
      <w:proofErr w:type="spellEnd"/>
      <w:r w:rsidRPr="00B830A2">
        <w:rPr>
          <w:rFonts w:ascii="Times New Roman" w:hAnsi="Times New Roman"/>
          <w:sz w:val="24"/>
          <w:szCs w:val="24"/>
        </w:rPr>
        <w:t xml:space="preserve"> ty </w:t>
      </w:r>
      <w:proofErr w:type="spellStart"/>
      <w:r w:rsidRPr="00B830A2">
        <w:rPr>
          <w:rFonts w:ascii="Times New Roman" w:hAnsi="Times New Roman"/>
          <w:sz w:val="24"/>
          <w:szCs w:val="24"/>
        </w:rPr>
        <w:t>Quản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lý</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phân</w:t>
      </w:r>
      <w:proofErr w:type="spellEnd"/>
      <w:r w:rsidRPr="00B830A2">
        <w:rPr>
          <w:rFonts w:ascii="Times New Roman" w:hAnsi="Times New Roman"/>
          <w:sz w:val="24"/>
          <w:szCs w:val="24"/>
        </w:rPr>
        <w:t xml:space="preserve"> chia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của</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cho</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Nhà</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đầu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tư</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nhiều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hơn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nhuận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đã</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nhưng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bảo</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đảm</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Giá</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trị</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Ròng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của</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Quỹ</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sau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khi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không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thấp</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hơn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năm</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mươi</w:t>
      </w:r>
      <w:proofErr w:type="spellEnd"/>
      <w:r w:rsidRPr="00B830A2">
        <w:rPr>
          <w:rFonts w:ascii="Times New Roman" w:hAnsi="Times New Roman"/>
          <w:sz w:val="24"/>
          <w:szCs w:val="24"/>
        </w:rPr>
        <w:t xml:space="preserve"> (50) </w:t>
      </w:r>
      <w:proofErr w:type="spellStart"/>
      <w:r w:rsidRPr="00B830A2">
        <w:rPr>
          <w:rFonts w:ascii="Times New Roman" w:hAnsi="Times New Roman"/>
          <w:sz w:val="24"/>
          <w:szCs w:val="24"/>
        </w:rPr>
        <w:t>tỷ</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đồng</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Kế</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hoạch</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lộ</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trình</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quy</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mô</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tài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sản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phân</w:t>
      </w:r>
      <w:proofErr w:type="spellEnd"/>
      <w:r w:rsidRPr="00B830A2">
        <w:rPr>
          <w:rFonts w:ascii="Times New Roman" w:hAnsi="Times New Roman"/>
          <w:sz w:val="24"/>
          <w:szCs w:val="24"/>
        </w:rPr>
        <w:t xml:space="preserve"> chia, </w:t>
      </w:r>
      <w:proofErr w:type="spellStart"/>
      <w:r w:rsidRPr="00B830A2">
        <w:rPr>
          <w:rFonts w:ascii="Times New Roman" w:hAnsi="Times New Roman"/>
          <w:sz w:val="24"/>
          <w:szCs w:val="24"/>
        </w:rPr>
        <w:t>nguồn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vốn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thực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hiện</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phải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được</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Đại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hội</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Nhà</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đầu</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tư</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chấp</w:t>
      </w:r>
      <w:proofErr w:type="spellEnd"/>
      <w:r w:rsidRPr="00B830A2">
        <w:rPr>
          <w:rFonts w:ascii="Times New Roman" w:hAnsi="Times New Roman"/>
          <w:sz w:val="24"/>
          <w:szCs w:val="24"/>
        </w:rPr>
        <w:t xml:space="preserve"> </w:t>
      </w:r>
      <w:proofErr w:type="spellStart"/>
      <w:r w:rsidRPr="00B830A2">
        <w:rPr>
          <w:rFonts w:ascii="Times New Roman" w:hAnsi="Times New Roman"/>
          <w:sz w:val="24"/>
          <w:szCs w:val="24"/>
        </w:rPr>
        <w:t>thuận</w:t>
      </w:r>
      <w:proofErr w:type="spellEnd"/>
      <w:r w:rsidR="00C626EB">
        <w:rPr>
          <w:rFonts w:ascii="Times New Roman" w:hAnsi="Times New Roman"/>
          <w:sz w:val="24"/>
          <w:szCs w:val="24"/>
        </w:rPr>
        <w:t>.</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14B7817C" w:rsidR="00BE6F63" w:rsidRPr="00A90AB7"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C626EB">
        <w:rPr>
          <w:rFonts w:ascii="Times New Roman" w:hAnsi="Times New Roman"/>
          <w:b/>
          <w:sz w:val="24"/>
          <w:szCs w:val="24"/>
          <w:lang w:val="nl-NL"/>
        </w:rPr>
        <w:t xml:space="preserve">1. </w:t>
      </w:r>
      <w:r w:rsidR="00BE6F63" w:rsidRPr="00C626EB">
        <w:rPr>
          <w:rFonts w:ascii="Times New Roman" w:hAnsi="Times New Roman"/>
          <w:b/>
          <w:sz w:val="24"/>
          <w:szCs w:val="24"/>
          <w:lang w:val="nl-NL"/>
        </w:rPr>
        <w:t>Cơ cấu tài sản quỹ</w:t>
      </w:r>
      <w:r w:rsidR="00C626EB">
        <w:rPr>
          <w:rFonts w:ascii="Times New Roman" w:hAnsi="Times New Roman"/>
          <w:b/>
          <w:sz w:val="24"/>
          <w:szCs w:val="24"/>
          <w:lang w:val="nl-NL"/>
        </w:rPr>
        <w:t>:</w:t>
      </w:r>
      <w:r w:rsidR="00BE6F63" w:rsidRPr="00C626EB">
        <w:rPr>
          <w:rFonts w:ascii="Times New Roman" w:hAnsi="Times New Roman"/>
          <w:b/>
          <w:sz w:val="24"/>
          <w:szCs w:val="24"/>
          <w:lang w:val="nl-NL"/>
        </w:rPr>
        <w:t xml:space="preserve"> </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39038CA2"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B17BB1">
              <w:rPr>
                <w:rFonts w:ascii="Times New Roman" w:eastAsia="Times New Roman" w:hAnsi="Times New Roman"/>
                <w:b/>
                <w:sz w:val="24"/>
                <w:szCs w:val="24"/>
                <w:lang w:val="nl-NL"/>
              </w:rPr>
              <w:t>1</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10200B51"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47ED21FF"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450792" w:rsidRPr="004647B9" w14:paraId="24D2596E" w14:textId="77777777" w:rsidTr="00AA4168">
        <w:tc>
          <w:tcPr>
            <w:tcW w:w="2134" w:type="pct"/>
            <w:shd w:val="clear" w:color="auto" w:fill="auto"/>
            <w:vAlign w:val="center"/>
          </w:tcPr>
          <w:p w14:paraId="33FCFD60" w14:textId="6918A882" w:rsidR="00450792" w:rsidRPr="004647B9" w:rsidRDefault="00450792" w:rsidP="00450792">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662F71AC"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94.16%</w:t>
            </w:r>
          </w:p>
        </w:tc>
        <w:tc>
          <w:tcPr>
            <w:tcW w:w="971" w:type="pct"/>
            <w:shd w:val="clear" w:color="auto" w:fill="auto"/>
            <w:vAlign w:val="center"/>
          </w:tcPr>
          <w:p w14:paraId="57589212" w14:textId="4528B989"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84.80%</w:t>
            </w:r>
          </w:p>
        </w:tc>
        <w:tc>
          <w:tcPr>
            <w:tcW w:w="923" w:type="pct"/>
            <w:shd w:val="clear" w:color="auto" w:fill="auto"/>
            <w:vAlign w:val="center"/>
          </w:tcPr>
          <w:p w14:paraId="7BE89613" w14:textId="4662A5BE"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91.98%</w:t>
            </w:r>
          </w:p>
        </w:tc>
      </w:tr>
      <w:tr w:rsidR="00450792" w:rsidRPr="004647B9" w14:paraId="4D0C35D7" w14:textId="77777777" w:rsidTr="00AA4168">
        <w:tc>
          <w:tcPr>
            <w:tcW w:w="2134" w:type="pct"/>
            <w:shd w:val="clear" w:color="auto" w:fill="auto"/>
            <w:vAlign w:val="center"/>
          </w:tcPr>
          <w:p w14:paraId="34BD949F" w14:textId="720577E3" w:rsidR="00450792" w:rsidRPr="004647B9" w:rsidRDefault="00450792" w:rsidP="00450792">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các khoản tương đương tiền</w:t>
            </w:r>
          </w:p>
        </w:tc>
        <w:tc>
          <w:tcPr>
            <w:tcW w:w="971" w:type="pct"/>
            <w:shd w:val="clear" w:color="auto" w:fill="auto"/>
            <w:vAlign w:val="center"/>
          </w:tcPr>
          <w:p w14:paraId="67FB726C" w14:textId="517D5638"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5.18%</w:t>
            </w:r>
          </w:p>
        </w:tc>
        <w:tc>
          <w:tcPr>
            <w:tcW w:w="971" w:type="pct"/>
            <w:shd w:val="clear" w:color="auto" w:fill="auto"/>
            <w:vAlign w:val="center"/>
          </w:tcPr>
          <w:p w14:paraId="34619132" w14:textId="50618745"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8.71%</w:t>
            </w:r>
          </w:p>
        </w:tc>
        <w:tc>
          <w:tcPr>
            <w:tcW w:w="923" w:type="pct"/>
            <w:shd w:val="clear" w:color="auto" w:fill="auto"/>
            <w:vAlign w:val="center"/>
          </w:tcPr>
          <w:p w14:paraId="1E0BFD96" w14:textId="488F559B"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7.04%</w:t>
            </w:r>
          </w:p>
        </w:tc>
      </w:tr>
      <w:tr w:rsidR="00450792" w:rsidRPr="004647B9" w14:paraId="2B8F060E" w14:textId="77777777" w:rsidTr="00AA4168">
        <w:tc>
          <w:tcPr>
            <w:tcW w:w="2134" w:type="pct"/>
            <w:shd w:val="clear" w:color="auto" w:fill="auto"/>
            <w:vAlign w:val="center"/>
          </w:tcPr>
          <w:p w14:paraId="687A447B" w14:textId="56D5388C" w:rsidR="00450792" w:rsidRPr="004647B9" w:rsidRDefault="00450792" w:rsidP="00450792">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3DD3F898"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0.66%</w:t>
            </w:r>
          </w:p>
        </w:tc>
        <w:tc>
          <w:tcPr>
            <w:tcW w:w="971" w:type="pct"/>
            <w:shd w:val="clear" w:color="auto" w:fill="auto"/>
            <w:vAlign w:val="center"/>
          </w:tcPr>
          <w:p w14:paraId="269481FC" w14:textId="07F4BE88"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6.49%</w:t>
            </w:r>
          </w:p>
        </w:tc>
        <w:tc>
          <w:tcPr>
            <w:tcW w:w="923" w:type="pct"/>
            <w:shd w:val="clear" w:color="auto" w:fill="auto"/>
            <w:vAlign w:val="center"/>
          </w:tcPr>
          <w:p w14:paraId="2A4B7332" w14:textId="533E1CAE" w:rsidR="00450792" w:rsidRPr="00450792" w:rsidRDefault="00450792" w:rsidP="00450792">
            <w:pPr>
              <w:tabs>
                <w:tab w:val="left" w:pos="540"/>
              </w:tabs>
              <w:spacing w:before="120" w:after="0" w:line="240" w:lineRule="auto"/>
              <w:jc w:val="center"/>
              <w:rPr>
                <w:rFonts w:ascii="Times New Roman" w:eastAsia="Times New Roman" w:hAnsi="Times New Roman"/>
                <w:bCs/>
                <w:sz w:val="24"/>
                <w:szCs w:val="24"/>
                <w:lang w:val="nl-NL"/>
              </w:rPr>
            </w:pPr>
            <w:r w:rsidRPr="00450792">
              <w:rPr>
                <w:rFonts w:ascii="Times New Roman" w:eastAsia="Times New Roman" w:hAnsi="Times New Roman"/>
                <w:bCs/>
                <w:sz w:val="24"/>
                <w:szCs w:val="24"/>
                <w:lang w:val="nl-NL"/>
              </w:rPr>
              <w:t>0.98%</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3980DED"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3A85DA2B"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61AA0">
        <w:rPr>
          <w:rFonts w:ascii="Times New Roman" w:hAnsi="Times New Roman"/>
          <w:b/>
          <w:sz w:val="24"/>
          <w:szCs w:val="24"/>
          <w:lang w:val="nl-NL"/>
        </w:rPr>
        <w:t>2. Chi tiết chỉ tiêu hoạt động</w:t>
      </w:r>
      <w:r w:rsidR="00861AA0">
        <w:rPr>
          <w:rFonts w:ascii="Times New Roman" w:hAnsi="Times New Roman"/>
          <w:b/>
          <w:sz w:val="24"/>
          <w:szCs w:val="24"/>
          <w:lang w:val="nl-NL"/>
        </w:rPr>
        <w:t>:</w:t>
      </w:r>
      <w:r w:rsidRPr="00861AA0">
        <w:rPr>
          <w:rFonts w:ascii="Times New Roman" w:hAnsi="Times New Roman"/>
          <w:b/>
          <w:sz w:val="24"/>
          <w:szCs w:val="24"/>
          <w:lang w:val="nl-NL"/>
        </w:rPr>
        <w:t xml:space="preserve"> </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19"/>
        <w:gridCol w:w="1684"/>
        <w:gridCol w:w="1919"/>
        <w:gridCol w:w="1732"/>
      </w:tblGrid>
      <w:tr w:rsidR="00B17BB1" w:rsidRPr="00A90AB7" w14:paraId="21034AD9" w14:textId="77777777" w:rsidTr="003011A5">
        <w:tc>
          <w:tcPr>
            <w:tcW w:w="2148"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00" w:type="pct"/>
            <w:shd w:val="clear" w:color="auto" w:fill="auto"/>
            <w:vAlign w:val="center"/>
          </w:tcPr>
          <w:p w14:paraId="4AB83160" w14:textId="03D405FE"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c>
          <w:tcPr>
            <w:tcW w:w="1026" w:type="pct"/>
            <w:shd w:val="clear" w:color="auto" w:fill="auto"/>
            <w:vAlign w:val="center"/>
          </w:tcPr>
          <w:p w14:paraId="174B15DB" w14:textId="79D09CD2"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c>
          <w:tcPr>
            <w:tcW w:w="926" w:type="pct"/>
            <w:shd w:val="clear" w:color="auto" w:fill="auto"/>
            <w:vAlign w:val="center"/>
          </w:tcPr>
          <w:p w14:paraId="36922E34" w14:textId="284E5410"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tc>
      </w:tr>
      <w:tr w:rsidR="00450792" w:rsidRPr="00A90AB7" w14:paraId="1582E00A" w14:textId="77777777" w:rsidTr="003011A5">
        <w:trPr>
          <w:trHeight w:val="648"/>
        </w:trPr>
        <w:tc>
          <w:tcPr>
            <w:tcW w:w="2148" w:type="pct"/>
            <w:shd w:val="clear" w:color="auto" w:fill="auto"/>
            <w:vAlign w:val="center"/>
          </w:tcPr>
          <w:p w14:paraId="165B2506"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Quỹ</w:t>
            </w:r>
          </w:p>
        </w:tc>
        <w:tc>
          <w:tcPr>
            <w:tcW w:w="900" w:type="pct"/>
            <w:shd w:val="clear" w:color="auto" w:fill="auto"/>
            <w:vAlign w:val="center"/>
          </w:tcPr>
          <w:p w14:paraId="41A827E1" w14:textId="04852AE7" w:rsidR="00450792" w:rsidRPr="003011A5" w:rsidRDefault="00450792" w:rsidP="00450792">
            <w:pPr>
              <w:tabs>
                <w:tab w:val="left" w:pos="540"/>
              </w:tabs>
              <w:spacing w:before="120" w:after="120" w:line="240" w:lineRule="auto"/>
              <w:ind w:right="58"/>
              <w:jc w:val="center"/>
              <w:rPr>
                <w:rFonts w:ascii="Times New Roman" w:hAnsi="Times New Roman"/>
                <w:sz w:val="24"/>
                <w:szCs w:val="24"/>
              </w:rPr>
            </w:pPr>
            <w:r w:rsidRPr="00450792">
              <w:rPr>
                <w:rFonts w:ascii="Times New Roman" w:hAnsi="Times New Roman"/>
                <w:sz w:val="24"/>
                <w:szCs w:val="24"/>
              </w:rPr>
              <w:t xml:space="preserve">                                  141,816,547,549 </w:t>
            </w:r>
          </w:p>
        </w:tc>
        <w:tc>
          <w:tcPr>
            <w:tcW w:w="1026" w:type="pct"/>
            <w:shd w:val="clear" w:color="auto" w:fill="auto"/>
            <w:vAlign w:val="center"/>
          </w:tcPr>
          <w:p w14:paraId="6B0EAE44" w14:textId="07AACEA7"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72,524,507,896   </w:t>
            </w:r>
          </w:p>
        </w:tc>
        <w:tc>
          <w:tcPr>
            <w:tcW w:w="926" w:type="pct"/>
            <w:shd w:val="clear" w:color="auto" w:fill="auto"/>
            <w:vAlign w:val="center"/>
          </w:tcPr>
          <w:p w14:paraId="2D404424" w14:textId="20161A0A" w:rsidR="00450792" w:rsidRPr="003011A5" w:rsidRDefault="00450792" w:rsidP="00450792">
            <w:pPr>
              <w:tabs>
                <w:tab w:val="left" w:pos="540"/>
              </w:tabs>
              <w:spacing w:before="120" w:after="120" w:line="240" w:lineRule="auto"/>
              <w:ind w:left="58" w:right="58"/>
              <w:jc w:val="center"/>
              <w:rPr>
                <w:rFonts w:ascii="Times New Roman" w:hAnsi="Times New Roman"/>
                <w:sz w:val="24"/>
                <w:szCs w:val="24"/>
              </w:rPr>
            </w:pPr>
            <w:r w:rsidRPr="00450792">
              <w:rPr>
                <w:rFonts w:ascii="Times New Roman" w:hAnsi="Times New Roman"/>
                <w:sz w:val="24"/>
                <w:szCs w:val="24"/>
              </w:rPr>
              <w:t xml:space="preserve">                             79,018,509,529   </w:t>
            </w:r>
          </w:p>
        </w:tc>
      </w:tr>
      <w:tr w:rsidR="00450792" w:rsidRPr="00A90AB7" w14:paraId="740B9023" w14:textId="77777777" w:rsidTr="003011A5">
        <w:trPr>
          <w:trHeight w:val="666"/>
        </w:trPr>
        <w:tc>
          <w:tcPr>
            <w:tcW w:w="2148" w:type="pct"/>
            <w:shd w:val="clear" w:color="auto" w:fill="auto"/>
            <w:vAlign w:val="center"/>
          </w:tcPr>
          <w:p w14:paraId="58D993A2" w14:textId="79C6E65E"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00" w:type="pct"/>
            <w:shd w:val="clear" w:color="auto" w:fill="auto"/>
            <w:vAlign w:val="center"/>
          </w:tcPr>
          <w:p w14:paraId="2E0189F1" w14:textId="6CA8E757"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8,754,989.87   </w:t>
            </w:r>
          </w:p>
        </w:tc>
        <w:tc>
          <w:tcPr>
            <w:tcW w:w="1026" w:type="pct"/>
            <w:shd w:val="clear" w:color="auto" w:fill="auto"/>
            <w:vAlign w:val="center"/>
          </w:tcPr>
          <w:p w14:paraId="0C159F19" w14:textId="26BFD4BE"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7,974,395.39   </w:t>
            </w:r>
          </w:p>
        </w:tc>
        <w:tc>
          <w:tcPr>
            <w:tcW w:w="926" w:type="pct"/>
            <w:shd w:val="clear" w:color="auto" w:fill="auto"/>
            <w:vAlign w:val="center"/>
          </w:tcPr>
          <w:p w14:paraId="34852C91" w14:textId="2851324D" w:rsidR="00450792" w:rsidRPr="003011A5"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7,686,473.96   </w:t>
            </w:r>
          </w:p>
        </w:tc>
      </w:tr>
      <w:tr w:rsidR="00450792" w:rsidRPr="00A90AB7" w14:paraId="0F7D1AC6" w14:textId="77777777" w:rsidTr="003011A5">
        <w:tc>
          <w:tcPr>
            <w:tcW w:w="2148" w:type="pct"/>
            <w:shd w:val="clear" w:color="auto" w:fill="auto"/>
            <w:vAlign w:val="center"/>
          </w:tcPr>
          <w:p w14:paraId="7AA58A45" w14:textId="5E80AB2B"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00" w:type="pct"/>
            <w:shd w:val="clear" w:color="auto" w:fill="auto"/>
            <w:vAlign w:val="center"/>
          </w:tcPr>
          <w:p w14:paraId="3BB66723" w14:textId="4E036D11"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16,198.36   </w:t>
            </w:r>
          </w:p>
        </w:tc>
        <w:tc>
          <w:tcPr>
            <w:tcW w:w="1026" w:type="pct"/>
            <w:shd w:val="clear" w:color="auto" w:fill="auto"/>
            <w:vAlign w:val="center"/>
          </w:tcPr>
          <w:p w14:paraId="5F9F7D1C" w14:textId="747C0EBF"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9,094.67   </w:t>
            </w:r>
          </w:p>
        </w:tc>
        <w:tc>
          <w:tcPr>
            <w:tcW w:w="926" w:type="pct"/>
            <w:shd w:val="clear" w:color="auto" w:fill="auto"/>
            <w:vAlign w:val="center"/>
          </w:tcPr>
          <w:p w14:paraId="048F7B62" w14:textId="564EB2F7" w:rsidR="00450792" w:rsidRPr="003011A5"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10,280.20   </w:t>
            </w:r>
          </w:p>
        </w:tc>
      </w:tr>
      <w:tr w:rsidR="00450792" w:rsidRPr="00A90AB7" w14:paraId="395AB2AB" w14:textId="77777777" w:rsidTr="003011A5">
        <w:tc>
          <w:tcPr>
            <w:tcW w:w="2148" w:type="pct"/>
            <w:shd w:val="clear" w:color="auto" w:fill="auto"/>
            <w:vAlign w:val="center"/>
          </w:tcPr>
          <w:p w14:paraId="4D78CBEF"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00" w:type="pct"/>
            <w:shd w:val="clear" w:color="auto" w:fill="auto"/>
            <w:vAlign w:val="center"/>
          </w:tcPr>
          <w:p w14:paraId="2E347DE5" w14:textId="2434980E"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16,226.96   </w:t>
            </w:r>
          </w:p>
        </w:tc>
        <w:tc>
          <w:tcPr>
            <w:tcW w:w="1026" w:type="pct"/>
            <w:shd w:val="clear" w:color="auto" w:fill="auto"/>
            <w:vAlign w:val="center"/>
          </w:tcPr>
          <w:p w14:paraId="2ECE8D83" w14:textId="10BA2143"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9,948.25   </w:t>
            </w:r>
          </w:p>
        </w:tc>
        <w:tc>
          <w:tcPr>
            <w:tcW w:w="926" w:type="pct"/>
            <w:shd w:val="clear" w:color="auto" w:fill="auto"/>
            <w:vAlign w:val="center"/>
          </w:tcPr>
          <w:p w14:paraId="4517B3D4" w14:textId="4F9AC874" w:rsidR="00450792" w:rsidRPr="003011A5"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10,748.23   </w:t>
            </w:r>
          </w:p>
        </w:tc>
      </w:tr>
      <w:tr w:rsidR="00450792" w:rsidRPr="00A90AB7" w14:paraId="3A3FE5B3" w14:textId="77777777" w:rsidTr="003011A5">
        <w:tc>
          <w:tcPr>
            <w:tcW w:w="2148" w:type="pct"/>
            <w:shd w:val="clear" w:color="auto" w:fill="auto"/>
            <w:vAlign w:val="center"/>
          </w:tcPr>
          <w:p w14:paraId="67851E1D"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00" w:type="pct"/>
            <w:shd w:val="clear" w:color="auto" w:fill="auto"/>
            <w:vAlign w:val="center"/>
          </w:tcPr>
          <w:p w14:paraId="78E13020" w14:textId="0008DE11"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13,781.18   </w:t>
            </w:r>
          </w:p>
        </w:tc>
        <w:tc>
          <w:tcPr>
            <w:tcW w:w="1026" w:type="pct"/>
            <w:shd w:val="clear" w:color="auto" w:fill="auto"/>
            <w:vAlign w:val="center"/>
          </w:tcPr>
          <w:p w14:paraId="7200238C" w14:textId="6F3BD012" w:rsidR="00450792" w:rsidRPr="003011A5" w:rsidRDefault="00450792" w:rsidP="00450792">
            <w:pPr>
              <w:tabs>
                <w:tab w:val="left" w:pos="540"/>
              </w:tabs>
              <w:spacing w:before="120" w:after="120" w:line="240" w:lineRule="auto"/>
              <w:ind w:left="57" w:right="58"/>
              <w:jc w:val="center"/>
              <w:rPr>
                <w:rFonts w:ascii="Times New Roman" w:hAnsi="Times New Roman"/>
                <w:sz w:val="24"/>
                <w:szCs w:val="24"/>
              </w:rPr>
            </w:pPr>
            <w:r w:rsidRPr="00450792">
              <w:rPr>
                <w:rFonts w:ascii="Times New Roman" w:hAnsi="Times New Roman"/>
                <w:sz w:val="24"/>
                <w:szCs w:val="24"/>
              </w:rPr>
              <w:t xml:space="preserve">                                            8,228.12   </w:t>
            </w:r>
          </w:p>
        </w:tc>
        <w:tc>
          <w:tcPr>
            <w:tcW w:w="926" w:type="pct"/>
            <w:shd w:val="clear" w:color="auto" w:fill="auto"/>
            <w:vAlign w:val="center"/>
          </w:tcPr>
          <w:p w14:paraId="0A60AFAB" w14:textId="64AA2E96" w:rsidR="00450792" w:rsidRPr="003011A5"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10,249.77   </w:t>
            </w:r>
          </w:p>
        </w:tc>
      </w:tr>
      <w:tr w:rsidR="0001588B" w:rsidRPr="00A90AB7" w14:paraId="680FA9D8" w14:textId="77777777" w:rsidTr="003011A5">
        <w:tc>
          <w:tcPr>
            <w:tcW w:w="2148" w:type="pct"/>
            <w:shd w:val="clear" w:color="auto" w:fill="auto"/>
            <w:vAlign w:val="center"/>
          </w:tcPr>
          <w:p w14:paraId="405BCECE"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00" w:type="pct"/>
            <w:shd w:val="clear" w:color="auto" w:fill="auto"/>
            <w:vAlign w:val="center"/>
          </w:tcPr>
          <w:p w14:paraId="1D199951" w14:textId="117BB3F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7A1B8227" w14:textId="0086D812"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26" w:type="pct"/>
            <w:shd w:val="clear" w:color="auto" w:fill="auto"/>
            <w:vAlign w:val="center"/>
          </w:tcPr>
          <w:p w14:paraId="0C5D082F" w14:textId="4B269FD8"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2492316D" w14:textId="77777777" w:rsidTr="003011A5">
        <w:tc>
          <w:tcPr>
            <w:tcW w:w="2148" w:type="pct"/>
            <w:shd w:val="clear" w:color="auto" w:fill="auto"/>
            <w:vAlign w:val="center"/>
          </w:tcPr>
          <w:p w14:paraId="3BF3BB34"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00" w:type="pct"/>
            <w:shd w:val="clear" w:color="auto" w:fill="auto"/>
            <w:vAlign w:val="center"/>
          </w:tcPr>
          <w:p w14:paraId="10619DC6" w14:textId="59D35FA3"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0BEE6D47" w14:textId="550A94B1"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26" w:type="pct"/>
            <w:shd w:val="clear" w:color="auto" w:fill="auto"/>
            <w:vAlign w:val="center"/>
          </w:tcPr>
          <w:p w14:paraId="54E3070C" w14:textId="235CFC96"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01588B" w:rsidRPr="00A90AB7" w14:paraId="51B49DCF" w14:textId="77777777" w:rsidTr="003011A5">
        <w:tc>
          <w:tcPr>
            <w:tcW w:w="2148" w:type="pct"/>
            <w:shd w:val="clear" w:color="auto" w:fill="auto"/>
            <w:vAlign w:val="center"/>
          </w:tcPr>
          <w:p w14:paraId="177EE2D0"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00" w:type="pct"/>
            <w:shd w:val="clear" w:color="auto" w:fill="auto"/>
            <w:vAlign w:val="center"/>
          </w:tcPr>
          <w:p w14:paraId="79D01296" w14:textId="7902214D"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3E65FA34" w14:textId="50355621"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926" w:type="pct"/>
            <w:shd w:val="clear" w:color="auto" w:fill="auto"/>
            <w:vAlign w:val="center"/>
          </w:tcPr>
          <w:p w14:paraId="693C8484" w14:textId="61C43F9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450792" w:rsidRPr="00A90AB7" w14:paraId="3D43ACEE" w14:textId="77777777" w:rsidTr="003011A5">
        <w:tc>
          <w:tcPr>
            <w:tcW w:w="2148" w:type="pct"/>
            <w:shd w:val="clear" w:color="auto" w:fill="auto"/>
            <w:vAlign w:val="center"/>
          </w:tcPr>
          <w:p w14:paraId="1916F095"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00" w:type="pct"/>
            <w:shd w:val="clear" w:color="auto" w:fill="auto"/>
            <w:vAlign w:val="center"/>
          </w:tcPr>
          <w:p w14:paraId="20184A90" w14:textId="5E517466"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19.05%</w:t>
            </w:r>
          </w:p>
        </w:tc>
        <w:tc>
          <w:tcPr>
            <w:tcW w:w="1026" w:type="pct"/>
            <w:shd w:val="clear" w:color="auto" w:fill="auto"/>
            <w:vAlign w:val="center"/>
          </w:tcPr>
          <w:p w14:paraId="5EF14642" w14:textId="75EB5726"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21.30%</w:t>
            </w:r>
          </w:p>
        </w:tc>
        <w:tc>
          <w:tcPr>
            <w:tcW w:w="926" w:type="pct"/>
            <w:shd w:val="clear" w:color="auto" w:fill="auto"/>
            <w:vAlign w:val="center"/>
          </w:tcPr>
          <w:p w14:paraId="69214AE9" w14:textId="607B54CC"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-2.55%</w:t>
            </w:r>
          </w:p>
        </w:tc>
      </w:tr>
      <w:tr w:rsidR="00450792" w:rsidRPr="00A90AB7" w14:paraId="39E29FC2" w14:textId="77777777" w:rsidTr="003011A5">
        <w:tc>
          <w:tcPr>
            <w:tcW w:w="2148" w:type="pct"/>
            <w:shd w:val="clear" w:color="auto" w:fill="auto"/>
            <w:vAlign w:val="center"/>
          </w:tcPr>
          <w:p w14:paraId="684DE998"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2.9.1.Tăng trưởng vốn (%)/1 đơn vị CCQ (Thay đổi do biến động giá)</w:t>
            </w:r>
          </w:p>
        </w:tc>
        <w:tc>
          <w:tcPr>
            <w:tcW w:w="900" w:type="pct"/>
            <w:shd w:val="clear" w:color="auto" w:fill="auto"/>
            <w:vAlign w:val="center"/>
          </w:tcPr>
          <w:p w14:paraId="100762D5" w14:textId="76710A05"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8.81%</w:t>
            </w:r>
          </w:p>
        </w:tc>
        <w:tc>
          <w:tcPr>
            <w:tcW w:w="1026" w:type="pct"/>
            <w:shd w:val="clear" w:color="auto" w:fill="auto"/>
            <w:vAlign w:val="center"/>
          </w:tcPr>
          <w:p w14:paraId="06674D77" w14:textId="699A61F1"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18.13%</w:t>
            </w:r>
          </w:p>
        </w:tc>
        <w:tc>
          <w:tcPr>
            <w:tcW w:w="926" w:type="pct"/>
            <w:shd w:val="clear" w:color="auto" w:fill="auto"/>
            <w:vAlign w:val="center"/>
          </w:tcPr>
          <w:p w14:paraId="441377AA" w14:textId="62AC4BC4"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-2.63%</w:t>
            </w:r>
          </w:p>
        </w:tc>
      </w:tr>
      <w:tr w:rsidR="00450792" w:rsidRPr="00A90AB7" w14:paraId="5D4A2E39" w14:textId="77777777" w:rsidTr="003011A5">
        <w:tc>
          <w:tcPr>
            <w:tcW w:w="2148" w:type="pct"/>
            <w:shd w:val="clear" w:color="auto" w:fill="auto"/>
            <w:vAlign w:val="center"/>
          </w:tcPr>
          <w:p w14:paraId="461797A3"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00" w:type="pct"/>
            <w:shd w:val="clear" w:color="auto" w:fill="auto"/>
            <w:vAlign w:val="center"/>
          </w:tcPr>
          <w:p w14:paraId="122130F8" w14:textId="06E389A7"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7.08%</w:t>
            </w:r>
          </w:p>
        </w:tc>
        <w:tc>
          <w:tcPr>
            <w:tcW w:w="1026" w:type="pct"/>
            <w:shd w:val="clear" w:color="auto" w:fill="auto"/>
            <w:vAlign w:val="center"/>
          </w:tcPr>
          <w:p w14:paraId="1E604B06" w14:textId="62249146"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1.33%</w:t>
            </w:r>
          </w:p>
        </w:tc>
        <w:tc>
          <w:tcPr>
            <w:tcW w:w="926" w:type="pct"/>
            <w:shd w:val="clear" w:color="auto" w:fill="auto"/>
            <w:vAlign w:val="center"/>
          </w:tcPr>
          <w:p w14:paraId="6F2AF01B" w14:textId="2FE620D1"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0.09%</w:t>
            </w:r>
          </w:p>
        </w:tc>
      </w:tr>
      <w:tr w:rsidR="0001588B" w:rsidRPr="00A90AB7" w14:paraId="4CC4F0AA" w14:textId="77777777" w:rsidTr="003011A5">
        <w:tc>
          <w:tcPr>
            <w:tcW w:w="2148" w:type="pct"/>
            <w:shd w:val="clear" w:color="auto" w:fill="auto"/>
            <w:vAlign w:val="center"/>
          </w:tcPr>
          <w:p w14:paraId="01DC28A3"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00" w:type="pct"/>
            <w:shd w:val="clear" w:color="auto" w:fill="auto"/>
            <w:vAlign w:val="center"/>
          </w:tcPr>
          <w:p w14:paraId="760FA637" w14:textId="760C6D67"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5168843E" w14:textId="4F03DA91"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c>
          <w:tcPr>
            <w:tcW w:w="926" w:type="pct"/>
            <w:shd w:val="clear" w:color="auto" w:fill="auto"/>
            <w:vAlign w:val="center"/>
          </w:tcPr>
          <w:p w14:paraId="31A61D75" w14:textId="1D4FEBCB"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6EAB03D4" w14:textId="77777777" w:rsidTr="003011A5">
        <w:tc>
          <w:tcPr>
            <w:tcW w:w="2148" w:type="pct"/>
            <w:shd w:val="clear" w:color="auto" w:fill="auto"/>
            <w:vAlign w:val="center"/>
          </w:tcPr>
          <w:p w14:paraId="3A517776"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00" w:type="pct"/>
            <w:shd w:val="clear" w:color="auto" w:fill="auto"/>
            <w:vAlign w:val="center"/>
          </w:tcPr>
          <w:p w14:paraId="6260AB34" w14:textId="5905D1EC"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3194D2B7" w14:textId="1FF9CF21"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c>
          <w:tcPr>
            <w:tcW w:w="926" w:type="pct"/>
            <w:shd w:val="clear" w:color="auto" w:fill="auto"/>
            <w:vAlign w:val="center"/>
          </w:tcPr>
          <w:p w14:paraId="356494BE" w14:textId="2531FFB5"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01588B" w:rsidRPr="00A90AB7" w14:paraId="484A1706" w14:textId="77777777" w:rsidTr="003011A5">
        <w:tc>
          <w:tcPr>
            <w:tcW w:w="2148" w:type="pct"/>
            <w:shd w:val="clear" w:color="auto" w:fill="auto"/>
            <w:vAlign w:val="center"/>
          </w:tcPr>
          <w:p w14:paraId="31BECECF" w14:textId="77777777" w:rsidR="0001588B" w:rsidRPr="00A90AB7" w:rsidRDefault="0001588B" w:rsidP="0001588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2.12.Ngày chốt quyền (Ex-date of distribution)</w:t>
            </w:r>
          </w:p>
        </w:tc>
        <w:tc>
          <w:tcPr>
            <w:tcW w:w="900" w:type="pct"/>
            <w:shd w:val="clear" w:color="auto" w:fill="auto"/>
            <w:vAlign w:val="center"/>
          </w:tcPr>
          <w:p w14:paraId="0010992B" w14:textId="46C56982" w:rsidR="0001588B" w:rsidRPr="00631DA1" w:rsidRDefault="0001588B" w:rsidP="0001588B">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1026" w:type="pct"/>
            <w:shd w:val="clear" w:color="auto" w:fill="auto"/>
            <w:vAlign w:val="center"/>
          </w:tcPr>
          <w:p w14:paraId="17D0C26B" w14:textId="0A3E106C" w:rsidR="0001588B" w:rsidRPr="00631DA1" w:rsidRDefault="00861AA0" w:rsidP="0001588B">
            <w:pPr>
              <w:tabs>
                <w:tab w:val="left" w:pos="540"/>
              </w:tabs>
              <w:spacing w:before="120" w:after="120" w:line="240" w:lineRule="auto"/>
              <w:ind w:left="57" w:right="57"/>
              <w:jc w:val="center"/>
              <w:rPr>
                <w:rFonts w:ascii="Times New Roman" w:hAnsi="Times New Roman"/>
                <w:sz w:val="24"/>
                <w:szCs w:val="24"/>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c>
          <w:tcPr>
            <w:tcW w:w="926" w:type="pct"/>
            <w:shd w:val="clear" w:color="auto" w:fill="auto"/>
            <w:vAlign w:val="center"/>
          </w:tcPr>
          <w:p w14:paraId="3EBF3467" w14:textId="00C756DA" w:rsidR="0001588B" w:rsidRPr="00A90AB7" w:rsidRDefault="0001588B" w:rsidP="0001588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450792" w:rsidRPr="00A90AB7" w14:paraId="59EE0EC7" w14:textId="77777777" w:rsidTr="007018C3">
        <w:tc>
          <w:tcPr>
            <w:tcW w:w="2148" w:type="pct"/>
            <w:shd w:val="clear" w:color="auto" w:fill="auto"/>
            <w:vAlign w:val="center"/>
          </w:tcPr>
          <w:p w14:paraId="5D620D01"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00" w:type="pct"/>
            <w:shd w:val="clear" w:color="auto" w:fill="auto"/>
            <w:vAlign w:val="center"/>
          </w:tcPr>
          <w:p w14:paraId="1599D8AD" w14:textId="0A269628" w:rsidR="00450792" w:rsidRPr="00631DA1"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3.12%</w:t>
            </w:r>
          </w:p>
        </w:tc>
        <w:tc>
          <w:tcPr>
            <w:tcW w:w="1026" w:type="pct"/>
            <w:shd w:val="clear" w:color="auto" w:fill="auto"/>
            <w:vAlign w:val="center"/>
          </w:tcPr>
          <w:p w14:paraId="4A1A1B3F" w14:textId="055B2226" w:rsidR="00450792" w:rsidRPr="00631DA1"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3.55%</w:t>
            </w:r>
          </w:p>
        </w:tc>
        <w:tc>
          <w:tcPr>
            <w:tcW w:w="926" w:type="pct"/>
            <w:shd w:val="clear" w:color="auto" w:fill="auto"/>
            <w:vAlign w:val="center"/>
          </w:tcPr>
          <w:p w14:paraId="669414C7" w14:textId="1439C654"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3.11%</w:t>
            </w:r>
          </w:p>
        </w:tc>
      </w:tr>
      <w:tr w:rsidR="00450792" w:rsidRPr="00A90AB7" w14:paraId="5F792137" w14:textId="77777777" w:rsidTr="007018C3">
        <w:tc>
          <w:tcPr>
            <w:tcW w:w="2148" w:type="pct"/>
            <w:shd w:val="clear" w:color="auto" w:fill="auto"/>
            <w:vAlign w:val="center"/>
          </w:tcPr>
          <w:p w14:paraId="1CB9C522"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00" w:type="pct"/>
            <w:shd w:val="clear" w:color="auto" w:fill="auto"/>
            <w:vAlign w:val="center"/>
          </w:tcPr>
          <w:p w14:paraId="1DCC5EDA" w14:textId="5FCD3B9B" w:rsidR="00450792" w:rsidRPr="00631DA1"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2.5840 </w:t>
            </w:r>
          </w:p>
        </w:tc>
        <w:tc>
          <w:tcPr>
            <w:tcW w:w="1026" w:type="pct"/>
            <w:shd w:val="clear" w:color="auto" w:fill="auto"/>
            <w:vAlign w:val="center"/>
          </w:tcPr>
          <w:p w14:paraId="445F9F32" w14:textId="75F6C620" w:rsidR="00450792" w:rsidRPr="00631DA1"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1.922   </w:t>
            </w:r>
          </w:p>
        </w:tc>
        <w:tc>
          <w:tcPr>
            <w:tcW w:w="926" w:type="pct"/>
            <w:shd w:val="clear" w:color="auto" w:fill="auto"/>
            <w:vAlign w:val="center"/>
          </w:tcPr>
          <w:p w14:paraId="236B1E60" w14:textId="171BAB12" w:rsidR="00450792" w:rsidRPr="00E67CAC" w:rsidRDefault="00450792" w:rsidP="00450792">
            <w:pPr>
              <w:tabs>
                <w:tab w:val="left" w:pos="540"/>
              </w:tabs>
              <w:spacing w:before="120" w:after="120" w:line="240" w:lineRule="auto"/>
              <w:ind w:left="57" w:right="57"/>
              <w:jc w:val="center"/>
              <w:rPr>
                <w:rFonts w:ascii="Times New Roman" w:hAnsi="Times New Roman"/>
                <w:sz w:val="24"/>
                <w:szCs w:val="24"/>
              </w:rPr>
            </w:pPr>
            <w:r w:rsidRPr="00450792">
              <w:rPr>
                <w:rFonts w:ascii="Times New Roman" w:hAnsi="Times New Roman"/>
                <w:sz w:val="24"/>
                <w:szCs w:val="24"/>
              </w:rPr>
              <w:t xml:space="preserve">                                                1.374   </w:t>
            </w:r>
          </w:p>
        </w:tc>
      </w:tr>
    </w:tbl>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861AA0">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450792" w:rsidRPr="00A90AB7" w14:paraId="5EEB48C6" w14:textId="77777777" w:rsidTr="0023436F">
        <w:tc>
          <w:tcPr>
            <w:tcW w:w="2115" w:type="pct"/>
            <w:shd w:val="clear" w:color="auto" w:fill="auto"/>
            <w:vAlign w:val="center"/>
          </w:tcPr>
          <w:p w14:paraId="5DDCFCF4" w14:textId="77777777" w:rsidR="00450792" w:rsidRPr="00A90AB7" w:rsidRDefault="00450792" w:rsidP="00861AA0">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vAlign w:val="center"/>
          </w:tcPr>
          <w:p w14:paraId="01E10D90" w14:textId="4A9D76E7" w:rsidR="00450792" w:rsidRPr="00631DA1" w:rsidRDefault="00450792" w:rsidP="00861AA0">
            <w:pPr>
              <w:tabs>
                <w:tab w:val="left" w:pos="540"/>
              </w:tabs>
              <w:spacing w:after="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c>
          <w:tcPr>
            <w:tcW w:w="1441" w:type="pct"/>
            <w:shd w:val="clear" w:color="auto" w:fill="auto"/>
            <w:vAlign w:val="center"/>
          </w:tcPr>
          <w:p w14:paraId="31D1F686" w14:textId="15E75DC7" w:rsidR="00450792" w:rsidRPr="00A90AB7" w:rsidRDefault="00450792" w:rsidP="00861AA0">
            <w:pPr>
              <w:tabs>
                <w:tab w:val="left" w:pos="540"/>
              </w:tabs>
              <w:spacing w:after="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61AA0">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861AA0">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861AA0">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450792" w:rsidRPr="00A90AB7" w14:paraId="15A9300F" w14:textId="77777777" w:rsidTr="00631DA1">
        <w:tc>
          <w:tcPr>
            <w:tcW w:w="2115" w:type="pct"/>
            <w:shd w:val="clear" w:color="auto" w:fill="auto"/>
            <w:vAlign w:val="center"/>
          </w:tcPr>
          <w:p w14:paraId="23252578" w14:textId="77777777" w:rsidR="00450792" w:rsidRPr="00A90AB7" w:rsidRDefault="00450792" w:rsidP="00861AA0">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073F991" w:rsidR="00450792" w:rsidRPr="00C17A7C" w:rsidRDefault="00450792" w:rsidP="00861AA0">
            <w:pPr>
              <w:tabs>
                <w:tab w:val="left" w:pos="540"/>
              </w:tabs>
              <w:spacing w:after="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61.98%</w:t>
            </w:r>
          </w:p>
        </w:tc>
        <w:tc>
          <w:tcPr>
            <w:tcW w:w="1441" w:type="pct"/>
            <w:shd w:val="clear" w:color="auto" w:fill="auto"/>
            <w:vAlign w:val="center"/>
          </w:tcPr>
          <w:p w14:paraId="22F7C0B9" w14:textId="4C39FA9B" w:rsidR="00450792" w:rsidRPr="00A90AB7" w:rsidRDefault="00450792" w:rsidP="00861AA0">
            <w:pPr>
              <w:tabs>
                <w:tab w:val="left" w:pos="540"/>
              </w:tabs>
              <w:spacing w:after="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21.34%</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861AA0">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861AA0">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861AA0">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61AA0">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4DF3B975"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7104D6">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w:t>
            </w:r>
            <w:r w:rsidR="007104D6">
              <w:rPr>
                <w:rFonts w:ascii="Times New Roman" w:eastAsia="Times New Roman" w:hAnsi="Times New Roman"/>
                <w:b/>
                <w:sz w:val="24"/>
                <w:szCs w:val="24"/>
                <w:lang w:val="nl-NL"/>
              </w:rPr>
              <w:t>6</w:t>
            </w:r>
            <w:r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260328E1"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67F54730"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1C3FEE18" w:rsidR="0001588B" w:rsidRPr="009F4856" w:rsidRDefault="007104D6"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9F4856">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1588B"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450792" w:rsidRPr="00A90AB7" w14:paraId="2450D773" w14:textId="77777777" w:rsidTr="0020671B">
        <w:tc>
          <w:tcPr>
            <w:tcW w:w="2018" w:type="pct"/>
            <w:shd w:val="clear" w:color="auto" w:fill="auto"/>
          </w:tcPr>
          <w:p w14:paraId="1AE229FE"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vAlign w:val="center"/>
          </w:tcPr>
          <w:p w14:paraId="7171C538" w14:textId="7270425B" w:rsidR="00450792" w:rsidRPr="00A90AB7" w:rsidRDefault="00450792" w:rsidP="00450792">
            <w:pPr>
              <w:tabs>
                <w:tab w:val="left" w:pos="540"/>
              </w:tabs>
              <w:spacing w:before="12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c>
          <w:tcPr>
            <w:tcW w:w="721" w:type="pct"/>
            <w:shd w:val="clear" w:color="auto" w:fill="auto"/>
            <w:vAlign w:val="center"/>
          </w:tcPr>
          <w:p w14:paraId="34A7EE47" w14:textId="5CCED362" w:rsidR="00450792" w:rsidRPr="00A90AB7" w:rsidRDefault="00450792" w:rsidP="00450792">
            <w:pPr>
              <w:tabs>
                <w:tab w:val="left" w:pos="540"/>
              </w:tabs>
              <w:spacing w:before="120" w:line="240" w:lineRule="auto"/>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-11.53%</w:t>
            </w:r>
          </w:p>
        </w:tc>
        <w:tc>
          <w:tcPr>
            <w:tcW w:w="770" w:type="pct"/>
            <w:shd w:val="clear" w:color="auto" w:fill="auto"/>
          </w:tcPr>
          <w:p w14:paraId="296CFA3A" w14:textId="7EB6AC91" w:rsidR="00450792" w:rsidRPr="00A90AB7" w:rsidRDefault="00450792" w:rsidP="00450792">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450792" w:rsidRPr="00A90AB7" w:rsidRDefault="00450792" w:rsidP="00450792">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12A2274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61AA0">
        <w:rPr>
          <w:rFonts w:ascii="Times New Roman" w:hAnsi="Times New Roman"/>
          <w:b/>
          <w:sz w:val="24"/>
          <w:szCs w:val="24"/>
          <w:lang w:val="nl-NL"/>
        </w:rPr>
        <w:t>III. Mô tả thị trường trong kỳ:</w:t>
      </w:r>
    </w:p>
    <w:p w14:paraId="0137090E" w14:textId="656518C0" w:rsidR="00CC0FF9" w:rsidRPr="00FC7539" w:rsidRDefault="00CC0FF9" w:rsidP="00CC0FF9">
      <w:pPr>
        <w:shd w:val="clear" w:color="auto" w:fill="FFFFFF"/>
        <w:tabs>
          <w:tab w:val="left" w:pos="540"/>
        </w:tabs>
        <w:spacing w:before="120" w:after="0" w:line="240" w:lineRule="auto"/>
        <w:jc w:val="both"/>
        <w:rPr>
          <w:rFonts w:ascii="Times New Roman" w:hAnsi="Times New Roman"/>
          <w:sz w:val="24"/>
          <w:szCs w:val="24"/>
          <w:shd w:val="clear" w:color="auto" w:fill="FFFFFF"/>
        </w:rPr>
      </w:pPr>
      <w:r>
        <w:rPr>
          <w:rFonts w:ascii="Times New Roman" w:hAnsi="Times New Roman"/>
          <w:sz w:val="24"/>
          <w:szCs w:val="24"/>
        </w:rPr>
        <w:tab/>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w:t>
      </w:r>
      <w:r w:rsidRPr="00FC7539">
        <w:rPr>
          <w:rFonts w:ascii="Times New Roman" w:hAnsi="Times New Roman"/>
          <w:sz w:val="24"/>
          <w:szCs w:val="24"/>
        </w:rPr>
        <w:t>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 </w:t>
      </w:r>
      <w:proofErr w:type="spellStart"/>
      <w:r>
        <w:rPr>
          <w:rFonts w:ascii="Times New Roman" w:hAnsi="Times New Roman"/>
          <w:sz w:val="24"/>
          <w:szCs w:val="24"/>
        </w:rPr>
        <w:t>X</w:t>
      </w:r>
      <w:r w:rsidRPr="00FC7539">
        <w:rPr>
          <w:rFonts w:ascii="Times New Roman" w:hAnsi="Times New Roman"/>
          <w:sz w:val="24"/>
          <w:szCs w:val="24"/>
        </w:rPr>
        <w:t>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Qu</w:t>
      </w:r>
      <w:r>
        <w:rPr>
          <w:rFonts w:ascii="Times New Roman" w:hAnsi="Times New Roman"/>
          <w:sz w:val="24"/>
          <w:szCs w:val="24"/>
          <w:lang w:val="vi-VN"/>
        </w:rPr>
        <w:t>ý 2</w:t>
      </w:r>
      <w:r>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lang w:val="vi-VN"/>
        </w:rPr>
        <w:t xml:space="preserve"> của nước ta</w:t>
      </w:r>
      <w:r w:rsidRPr="00FC7539">
        <w:rPr>
          <w:rFonts w:ascii="Times New Roman" w:hAnsi="Times New Roman"/>
          <w:sz w:val="24"/>
          <w:szCs w:val="24"/>
        </w:rPr>
        <w:t xml:space="preserve"> </w:t>
      </w:r>
      <w:proofErr w:type="spellStart"/>
      <w:r w:rsidRPr="00FC7539">
        <w:rPr>
          <w:rFonts w:ascii="Times New Roman" w:hAnsi="Times New Roman"/>
          <w:sz w:val="24"/>
          <w:szCs w:val="24"/>
        </w:rPr>
        <w:t>diễn</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bắt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sau</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sidRPr="00FC7539">
        <w:rPr>
          <w:rFonts w:ascii="Times New Roman" w:hAnsi="Times New Roman"/>
          <w:sz w:val="24"/>
          <w:szCs w:val="24"/>
        </w:rPr>
        <w:t>nỗ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nghiên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cứu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lang w:val="vi-VN"/>
        </w:rPr>
        <w:t xml:space="preserve"> triển khai</w:t>
      </w:r>
      <w:r w:rsidRPr="00FC7539">
        <w:rPr>
          <w:rFonts w:ascii="Times New Roman" w:hAnsi="Times New Roman"/>
          <w:sz w:val="24"/>
          <w:szCs w:val="24"/>
        </w:rPr>
        <w:t xml:space="preserve"> </w:t>
      </w:r>
      <w:proofErr w:type="spellStart"/>
      <w:r w:rsidRPr="00FC7539">
        <w:rPr>
          <w:rFonts w:ascii="Times New Roman" w:hAnsi="Times New Roman"/>
          <w:sz w:val="24"/>
          <w:szCs w:val="24"/>
        </w:rPr>
        <w:t>tiêm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chủng</w:t>
      </w:r>
      <w:proofErr w:type="spellEnd"/>
      <w:r w:rsidRPr="00FC7539">
        <w:rPr>
          <w:rFonts w:ascii="Times New Roman" w:hAnsi="Times New Roman"/>
          <w:sz w:val="24"/>
          <w:szCs w:val="24"/>
        </w:rPr>
        <w:t xml:space="preserve"> vaccine Covid-19 </w:t>
      </w:r>
      <w:r w:rsidRPr="00FC7539">
        <w:rPr>
          <w:rFonts w:ascii="Times New Roman" w:hAnsi="Times New Roman"/>
          <w:sz w:val="24"/>
          <w:szCs w:val="24"/>
          <w:lang w:val="vi-VN"/>
        </w:rPr>
        <w:t xml:space="preserve">ở nhiều nước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Việt</w:t>
      </w:r>
      <w:proofErr w:type="spellEnd"/>
      <w:r w:rsidRPr="00FC7539">
        <w:rPr>
          <w:rFonts w:ascii="Times New Roman" w:hAnsi="Times New Roman"/>
          <w:sz w:val="24"/>
          <w:szCs w:val="24"/>
        </w:rPr>
        <w:t xml:space="preserve"> Nam. </w:t>
      </w:r>
      <w:proofErr w:type="spellStart"/>
      <w:r w:rsidRPr="00FC7539">
        <w:rPr>
          <w:rFonts w:ascii="Times New Roman" w:hAnsi="Times New Roman"/>
          <w:sz w:val="24"/>
          <w:szCs w:val="24"/>
        </w:rPr>
        <w:t>Quỹ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tệ</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(IMF), </w:t>
      </w:r>
      <w:proofErr w:type="spellStart"/>
      <w:r w:rsidRPr="00FC7539">
        <w:rPr>
          <w:rFonts w:ascii="Times New Roman" w:hAnsi="Times New Roman"/>
          <w:sz w:val="24"/>
          <w:szCs w:val="24"/>
        </w:rPr>
        <w:t>Ngân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(WB)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tổ</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đưa</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dự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báo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quan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về</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Covid-19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lớn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như</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Trung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Bản</w:t>
      </w:r>
      <w:proofErr w:type="spellEnd"/>
      <w:r w:rsidRPr="00FC7539">
        <w:rPr>
          <w:rFonts w:ascii="Times New Roman" w:hAnsi="Times New Roman"/>
          <w:sz w:val="24"/>
          <w:szCs w:val="24"/>
        </w:rPr>
        <w:t xml:space="preserve">, EU </w:t>
      </w:r>
      <w:proofErr w:type="spellStart"/>
      <w:r w:rsidRPr="00FC7539">
        <w:rPr>
          <w:rFonts w:ascii="Times New Roman" w:hAnsi="Times New Roman"/>
          <w:sz w:val="24"/>
          <w:szCs w:val="24"/>
        </w:rPr>
        <w:t>đều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FC7539">
        <w:rPr>
          <w:rFonts w:ascii="Times New Roman" w:hAnsi="Times New Roman"/>
          <w:sz w:val="24"/>
          <w:szCs w:val="24"/>
        </w:rPr>
        <w:t>2020</w:t>
      </w:r>
      <w:r>
        <w:rPr>
          <w:rFonts w:ascii="Times New Roman" w:hAnsi="Times New Roman"/>
          <w:sz w:val="24"/>
          <w:szCs w:val="24"/>
        </w:rPr>
        <w:t xml:space="preserve">. </w:t>
      </w:r>
      <w:proofErr w:type="spellStart"/>
      <w:r>
        <w:rPr>
          <w:rFonts w:ascii="Times New Roman" w:hAnsi="Times New Roman"/>
          <w:sz w:val="24"/>
          <w:szCs w:val="24"/>
        </w:rPr>
        <w:t>Ngoài</w:t>
      </w:r>
      <w:proofErr w:type="spellEnd"/>
      <w:r>
        <w:rPr>
          <w:rFonts w:ascii="Times New Roman" w:hAnsi="Times New Roman"/>
          <w:sz w:val="24"/>
          <w:szCs w:val="24"/>
        </w:rPr>
        <w:t xml:space="preserve"> ra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r>
        <w:rPr>
          <w:rFonts w:ascii="Times New Roman" w:hAnsi="Times New Roman"/>
          <w:sz w:val="24"/>
          <w:szCs w:val="24"/>
          <w:lang w:val="vi-VN"/>
        </w:rPr>
        <w:t>n</w:t>
      </w:r>
      <w:proofErr w:type="spellStart"/>
      <w:r w:rsidR="00897BB3">
        <w:rPr>
          <w:rFonts w:ascii="Times New Roman" w:hAnsi="Times New Roman"/>
          <w:sz w:val="24"/>
          <w:szCs w:val="24"/>
        </w:rPr>
        <w:t>ửa</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2021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triển</w:t>
      </w:r>
      <w:proofErr w:type="spellEnd"/>
      <w:r>
        <w:rPr>
          <w:rFonts w:ascii="Times New Roman" w:hAnsi="Times New Roman"/>
          <w:sz w:val="24"/>
          <w:szCs w:val="24"/>
        </w:rPr>
        <w:t xml:space="preserve"> </w:t>
      </w:r>
      <w:proofErr w:type="spellStart"/>
      <w:r>
        <w:rPr>
          <w:rFonts w:ascii="Times New Roman" w:hAnsi="Times New Roman"/>
          <w:sz w:val="24"/>
          <w:szCs w:val="24"/>
        </w:rPr>
        <w:t>khai</w:t>
      </w:r>
      <w:proofErr w:type="spellEnd"/>
      <w:r>
        <w:rPr>
          <w:rFonts w:ascii="Times New Roman" w:hAnsi="Times New Roman"/>
          <w:sz w:val="24"/>
          <w:szCs w:val="24"/>
        </w:rPr>
        <w:t xml:space="preserve"> </w:t>
      </w:r>
      <w:proofErr w:type="spellStart"/>
      <w:r>
        <w:rPr>
          <w:rFonts w:ascii="Times New Roman" w:hAnsi="Times New Roman"/>
          <w:sz w:val="24"/>
          <w:szCs w:val="24"/>
        </w:rPr>
        <w:t>tiêm</w:t>
      </w:r>
      <w:proofErr w:type="spellEnd"/>
      <w:r>
        <w:rPr>
          <w:rFonts w:ascii="Times New Roman" w:hAnsi="Times New Roman"/>
          <w:sz w:val="24"/>
          <w:szCs w:val="24"/>
        </w:rPr>
        <w:t xml:space="preserve"> </w:t>
      </w:r>
      <w:proofErr w:type="spellStart"/>
      <w:r>
        <w:rPr>
          <w:rFonts w:ascii="Times New Roman" w:hAnsi="Times New Roman"/>
          <w:sz w:val="24"/>
          <w:szCs w:val="24"/>
        </w:rPr>
        <w:t>chủng</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đưa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mình</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bình</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sớm</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vẫn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còn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lastRenderedPageBreak/>
        <w:t>hiện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hữu</w:t>
      </w:r>
      <w:proofErr w:type="spellEnd"/>
      <w:r>
        <w:rPr>
          <w:rFonts w:ascii="Times New Roman" w:hAnsi="Times New Roman"/>
          <w:sz w:val="24"/>
          <w:szCs w:val="24"/>
        </w:rPr>
        <w:t>,</w:t>
      </w:r>
      <w:r w:rsidRPr="00FC7539">
        <w:rPr>
          <w:rFonts w:ascii="Times New Roman" w:hAnsi="Times New Roman"/>
          <w:sz w:val="24"/>
          <w:szCs w:val="24"/>
        </w:rPr>
        <w:t xml:space="preserve"> </w:t>
      </w:r>
      <w:proofErr w:type="spellStart"/>
      <w:r>
        <w:rPr>
          <w:rFonts w:ascii="Times New Roman" w:hAnsi="Times New Roman"/>
          <w:sz w:val="24"/>
          <w:szCs w:val="24"/>
        </w:rPr>
        <w:t>t</w:t>
      </w:r>
      <w:r w:rsidRPr="00FC7539">
        <w:rPr>
          <w:rFonts w:ascii="Times New Roman" w:hAnsi="Times New Roman"/>
          <w:sz w:val="24"/>
          <w:szCs w:val="24"/>
        </w:rPr>
        <w:t>hương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bị</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động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tiêu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r>
        <w:rPr>
          <w:rFonts w:ascii="Times New Roman" w:hAnsi="Times New Roman"/>
          <w:sz w:val="24"/>
          <w:szCs w:val="24"/>
        </w:rPr>
        <w:t xml:space="preserve">do </w:t>
      </w:r>
      <w:proofErr w:type="spellStart"/>
      <w:r>
        <w:rPr>
          <w:rFonts w:ascii="Times New Roman" w:hAnsi="Times New Roman"/>
          <w:sz w:val="24"/>
          <w:szCs w:val="24"/>
        </w:rPr>
        <w:t>đứt</w:t>
      </w:r>
      <w:proofErr w:type="spellEnd"/>
      <w:r>
        <w:rPr>
          <w:rFonts w:ascii="Times New Roman" w:hAnsi="Times New Roman"/>
          <w:sz w:val="24"/>
          <w:szCs w:val="24"/>
        </w:rPr>
        <w:t xml:space="preserve"> </w:t>
      </w:r>
      <w:proofErr w:type="spellStart"/>
      <w:r>
        <w:rPr>
          <w:rFonts w:ascii="Times New Roman" w:hAnsi="Times New Roman"/>
          <w:sz w:val="24"/>
          <w:szCs w:val="24"/>
        </w:rPr>
        <w:t>gãy</w:t>
      </w:r>
      <w:proofErr w:type="spellEnd"/>
      <w:r>
        <w:rPr>
          <w:rFonts w:ascii="Times New Roman" w:hAnsi="Times New Roman"/>
          <w:sz w:val="24"/>
          <w:szCs w:val="24"/>
        </w:rPr>
        <w:t xml:space="preserve"> </w:t>
      </w:r>
      <w:proofErr w:type="spellStart"/>
      <w:r>
        <w:rPr>
          <w:rFonts w:ascii="Times New Roman" w:hAnsi="Times New Roman"/>
          <w:sz w:val="24"/>
          <w:szCs w:val="24"/>
        </w:rPr>
        <w:t>chuỗi</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w:t>
      </w:r>
      <w:r w:rsidRPr="00FC7539">
        <w:rPr>
          <w:rFonts w:ascii="Times New Roman" w:hAnsi="Times New Roman"/>
          <w:sz w:val="24"/>
          <w:szCs w:val="24"/>
        </w:rPr>
        <w:t xml:space="preserve"> </w:t>
      </w:r>
      <w:proofErr w:type="spellStart"/>
      <w:r w:rsidRPr="00FC7539">
        <w:rPr>
          <w:rFonts w:ascii="Times New Roman" w:hAnsi="Times New Roman"/>
          <w:sz w:val="24"/>
          <w:szCs w:val="24"/>
        </w:rPr>
        <w:t>góp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phần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đẩy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giá</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hóa</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Pr>
          <w:rFonts w:ascii="Times New Roman" w:hAnsi="Times New Roman"/>
          <w:sz w:val="24"/>
          <w:szCs w:val="24"/>
        </w:rPr>
        <w:t xml:space="preserve">,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nhóm</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cơ</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dầu</w:t>
      </w:r>
      <w:proofErr w:type="spellEnd"/>
      <w:r>
        <w:rPr>
          <w:rFonts w:ascii="Times New Roman" w:hAnsi="Times New Roman"/>
          <w:sz w:val="24"/>
          <w:szCs w:val="24"/>
        </w:rPr>
        <w:t xml:space="preserve">, </w:t>
      </w:r>
      <w:proofErr w:type="spellStart"/>
      <w:r>
        <w:rPr>
          <w:rFonts w:ascii="Times New Roman" w:hAnsi="Times New Roman"/>
          <w:sz w:val="24"/>
          <w:szCs w:val="24"/>
        </w:rPr>
        <w:t>sắt</w:t>
      </w:r>
      <w:proofErr w:type="spellEnd"/>
      <w:r>
        <w:rPr>
          <w:rFonts w:ascii="Times New Roman" w:hAnsi="Times New Roman"/>
          <w:sz w:val="24"/>
          <w:szCs w:val="24"/>
        </w:rPr>
        <w:t xml:space="preserve"> </w:t>
      </w:r>
      <w:proofErr w:type="spellStart"/>
      <w:r>
        <w:rPr>
          <w:rFonts w:ascii="Times New Roman" w:hAnsi="Times New Roman"/>
          <w:sz w:val="24"/>
          <w:szCs w:val="24"/>
        </w:rPr>
        <w:t>thép</w:t>
      </w:r>
      <w:proofErr w:type="spellEnd"/>
      <w:r>
        <w:rPr>
          <w:rFonts w:ascii="Times New Roman" w:hAnsi="Times New Roman"/>
          <w:sz w:val="24"/>
          <w:szCs w:val="24"/>
        </w:rPr>
        <w:t xml:space="preserve">, </w:t>
      </w:r>
      <w:proofErr w:type="gramStart"/>
      <w:r>
        <w:rPr>
          <w:rFonts w:ascii="Times New Roman" w:hAnsi="Times New Roman"/>
          <w:sz w:val="24"/>
          <w:szCs w:val="24"/>
        </w:rPr>
        <w:t>than</w:t>
      </w:r>
      <w:proofErr w:type="gramEnd"/>
      <w:r>
        <w:rPr>
          <w:rFonts w:ascii="Times New Roman" w:hAnsi="Times New Roman"/>
          <w:sz w:val="24"/>
          <w:szCs w:val="24"/>
        </w:rPr>
        <w:t xml:space="preserve"> </w:t>
      </w:r>
      <w:proofErr w:type="spellStart"/>
      <w:r>
        <w:rPr>
          <w:rFonts w:ascii="Times New Roman" w:hAnsi="Times New Roman"/>
          <w:sz w:val="24"/>
          <w:szCs w:val="24"/>
        </w:rPr>
        <w:t>đá</w:t>
      </w:r>
      <w:proofErr w:type="spellEnd"/>
      <w:r>
        <w:rPr>
          <w:rFonts w:ascii="Times New Roman" w:hAnsi="Times New Roman"/>
          <w:sz w:val="24"/>
          <w:szCs w:val="24"/>
        </w:rPr>
        <w:t>..</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Mặt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bằng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lãi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suất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quốc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có</w:t>
      </w:r>
      <w:proofErr w:type="spellEnd"/>
      <w:r w:rsidRPr="00FC7539">
        <w:rPr>
          <w:rFonts w:ascii="Times New Roman" w:hAnsi="Times New Roman"/>
          <w:sz w:val="24"/>
          <w:szCs w:val="24"/>
          <w:shd w:val="clear" w:color="auto" w:fill="FFFFFF"/>
        </w:rPr>
        <w:t xml:space="preserve"> xu </w:t>
      </w:r>
      <w:proofErr w:type="spellStart"/>
      <w:r w:rsidRPr="00FC7539">
        <w:rPr>
          <w:rFonts w:ascii="Times New Roman" w:hAnsi="Times New Roman"/>
          <w:sz w:val="24"/>
          <w:szCs w:val="24"/>
          <w:shd w:val="clear" w:color="auto" w:fill="FFFFFF"/>
        </w:rPr>
        <w:t>hướng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tăng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trở</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gây</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áp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lực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lạm</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Các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quốc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gia</w:t>
      </w:r>
      <w:proofErr w:type="spellEnd"/>
      <w:r>
        <w:rPr>
          <w:rFonts w:ascii="Times New Roman" w:hAnsi="Times New Roman"/>
          <w:sz w:val="24"/>
          <w:szCs w:val="24"/>
          <w:shd w:val="clear" w:color="auto" w:fill="FFFFFF"/>
        </w:rPr>
        <w:t xml:space="preserve"> ở </w:t>
      </w:r>
      <w:proofErr w:type="spellStart"/>
      <w:r>
        <w:rPr>
          <w:rFonts w:ascii="Times New Roman" w:hAnsi="Times New Roman"/>
          <w:sz w:val="24"/>
          <w:szCs w:val="24"/>
          <w:shd w:val="clear" w:color="auto" w:fill="FFFFFF"/>
        </w:rPr>
        <w:t>khu</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vực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Đông</w:t>
      </w:r>
      <w:proofErr w:type="spellEnd"/>
      <w:r>
        <w:rPr>
          <w:rFonts w:ascii="Times New Roman" w:hAnsi="Times New Roman"/>
          <w:sz w:val="24"/>
          <w:szCs w:val="24"/>
          <w:shd w:val="clear" w:color="auto" w:fill="FFFFFF"/>
        </w:rPr>
        <w:t xml:space="preserve"> Nam Á</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tiếp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tục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bị</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ảnh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hưởng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bởi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làn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sóng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dịch</w:t>
      </w:r>
      <w:proofErr w:type="spellEnd"/>
      <w:r w:rsidRPr="00FC7539">
        <w:rPr>
          <w:rFonts w:ascii="Times New Roman" w:hAnsi="Times New Roman"/>
          <w:sz w:val="24"/>
          <w:szCs w:val="24"/>
          <w:shd w:val="clear" w:color="auto" w:fill="FFFFFF"/>
        </w:rPr>
        <w:t xml:space="preserve"> Covid</w:t>
      </w:r>
      <w:r>
        <w:rPr>
          <w:rFonts w:ascii="Times New Roman" w:hAnsi="Times New Roman"/>
          <w:sz w:val="24"/>
          <w:szCs w:val="24"/>
          <w:shd w:val="clear" w:color="auto" w:fill="FFFFFF"/>
        </w:rPr>
        <w:t>-</w:t>
      </w:r>
      <w:r w:rsidRPr="00FC7539">
        <w:rPr>
          <w:rFonts w:ascii="Times New Roman" w:hAnsi="Times New Roman"/>
          <w:sz w:val="24"/>
          <w:szCs w:val="24"/>
          <w:shd w:val="clear" w:color="auto" w:fill="FFFFFF"/>
        </w:rPr>
        <w:t xml:space="preserve">19 </w:t>
      </w:r>
      <w:r>
        <w:rPr>
          <w:rFonts w:ascii="Times New Roman" w:hAnsi="Times New Roman"/>
          <w:sz w:val="24"/>
          <w:szCs w:val="24"/>
          <w:shd w:val="clear" w:color="auto" w:fill="FFFFFF"/>
        </w:rPr>
        <w:t xml:space="preserve">do </w:t>
      </w:r>
      <w:proofErr w:type="spellStart"/>
      <w:r>
        <w:rPr>
          <w:rFonts w:ascii="Times New Roman" w:hAnsi="Times New Roman"/>
          <w:sz w:val="24"/>
          <w:szCs w:val="24"/>
          <w:shd w:val="clear" w:color="auto" w:fill="FFFFFF"/>
        </w:rPr>
        <w:t>các</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biến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chủng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mới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của</w:t>
      </w:r>
      <w:proofErr w:type="spellEnd"/>
      <w:r>
        <w:rPr>
          <w:rFonts w:ascii="Times New Roman" w:hAnsi="Times New Roman"/>
          <w:sz w:val="24"/>
          <w:szCs w:val="24"/>
          <w:shd w:val="clear" w:color="auto" w:fill="FFFFFF"/>
        </w:rPr>
        <w:t xml:space="preserve"> virus Covid 19, </w:t>
      </w:r>
      <w:proofErr w:type="spellStart"/>
      <w:r>
        <w:rPr>
          <w:rFonts w:ascii="Times New Roman" w:hAnsi="Times New Roman"/>
          <w:sz w:val="24"/>
          <w:szCs w:val="24"/>
          <w:shd w:val="clear" w:color="auto" w:fill="FFFFFF"/>
        </w:rPr>
        <w:t>những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làn</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w:t>
      </w:r>
      <w:r w:rsidR="00897BB3">
        <w:rPr>
          <w:rFonts w:ascii="Times New Roman" w:hAnsi="Times New Roman"/>
          <w:sz w:val="24"/>
          <w:szCs w:val="24"/>
          <w:shd w:val="clear" w:color="auto" w:fill="FFFFFF"/>
        </w:rPr>
        <w:t>ó</w:t>
      </w:r>
      <w:r>
        <w:rPr>
          <w:rFonts w:ascii="Times New Roman" w:hAnsi="Times New Roman"/>
          <w:sz w:val="24"/>
          <w:szCs w:val="24"/>
          <w:shd w:val="clear" w:color="auto" w:fill="FFFFFF"/>
        </w:rPr>
        <w:t>ng</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dịch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bệnh</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mới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tiếp</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tục</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bùng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ảnh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hưởng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không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nhỏ</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đến</w:t>
      </w:r>
      <w:proofErr w:type="spellEnd"/>
      <w:r w:rsidRPr="00FC7539">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nền</w:t>
      </w:r>
      <w:proofErr w:type="spellEnd"/>
      <w:r>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kinh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toàn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cầu</w:t>
      </w:r>
      <w:proofErr w:type="spellEnd"/>
      <w:r w:rsidRPr="00FC7539">
        <w:rPr>
          <w:rFonts w:ascii="Times New Roman" w:hAnsi="Times New Roman"/>
          <w:sz w:val="24"/>
          <w:szCs w:val="24"/>
          <w:shd w:val="clear" w:color="auto" w:fill="FFFFFF"/>
        </w:rPr>
        <w:t xml:space="preserve">. </w:t>
      </w:r>
    </w:p>
    <w:p w14:paraId="37632066" w14:textId="51AE6297" w:rsidR="00CC0FF9" w:rsidRPr="00FC7539"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shd w:val="clear" w:color="auto" w:fill="FFFFFF"/>
        </w:rPr>
        <w:tab/>
      </w:r>
      <w:proofErr w:type="spellStart"/>
      <w:r w:rsidRPr="00FC7539">
        <w:rPr>
          <w:rFonts w:ascii="Times New Roman" w:hAnsi="Times New Roman"/>
          <w:sz w:val="24"/>
          <w:szCs w:val="24"/>
          <w:shd w:val="clear" w:color="auto" w:fill="FFFFFF"/>
        </w:rPr>
        <w:t>Đối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với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w:t>
      </w:r>
      <w:r w:rsidRPr="00FC7539">
        <w:rPr>
          <w:rFonts w:ascii="Times New Roman" w:hAnsi="Times New Roman"/>
          <w:sz w:val="24"/>
          <w:szCs w:val="24"/>
        </w:rPr>
        <w: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w:t>
      </w:r>
      <w:r w:rsidR="00897BB3">
        <w:rPr>
          <w:rFonts w:ascii="Times New Roman" w:hAnsi="Times New Roman"/>
          <w:sz w:val="24"/>
          <w:szCs w:val="24"/>
        </w:rPr>
        <w:t>2</w:t>
      </w:r>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w:t>
      </w:r>
      <w:r>
        <w:rPr>
          <w:rFonts w:ascii="Times New Roman" w:hAnsi="Times New Roman"/>
          <w:sz w:val="24"/>
          <w:szCs w:val="24"/>
        </w:rPr>
        <w:t xml:space="preserve">1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làn</w:t>
      </w:r>
      <w:proofErr w:type="spellEnd"/>
      <w:r>
        <w:rPr>
          <w:rFonts w:ascii="Times New Roman" w:hAnsi="Times New Roman"/>
          <w:sz w:val="24"/>
          <w:szCs w:val="24"/>
        </w:rPr>
        <w:t xml:space="preserve"> </w:t>
      </w:r>
      <w:proofErr w:type="spellStart"/>
      <w:r>
        <w:rPr>
          <w:rFonts w:ascii="Times New Roman" w:hAnsi="Times New Roman"/>
          <w:sz w:val="24"/>
          <w:szCs w:val="24"/>
        </w:rPr>
        <w:t>sóng</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4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Covid 19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chủng</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lây</w:t>
      </w:r>
      <w:proofErr w:type="spellEnd"/>
      <w:r>
        <w:rPr>
          <w:rFonts w:ascii="Times New Roman" w:hAnsi="Times New Roman"/>
          <w:sz w:val="24"/>
          <w:szCs w:val="24"/>
        </w:rPr>
        <w:t xml:space="preserve"> </w:t>
      </w:r>
      <w:proofErr w:type="spellStart"/>
      <w:r>
        <w:rPr>
          <w:rFonts w:ascii="Times New Roman" w:hAnsi="Times New Roman"/>
          <w:sz w:val="24"/>
          <w:szCs w:val="24"/>
        </w:rPr>
        <w:t>lan</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Anh, </w:t>
      </w:r>
      <w:proofErr w:type="spellStart"/>
      <w:r>
        <w:rPr>
          <w:rFonts w:ascii="Times New Roman" w:hAnsi="Times New Roman"/>
          <w:sz w:val="24"/>
          <w:szCs w:val="24"/>
        </w:rPr>
        <w:t>Ấn</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Đợt</w:t>
      </w:r>
      <w:proofErr w:type="spellEnd"/>
      <w:r>
        <w:rPr>
          <w:rFonts w:ascii="Times New Roman" w:hAnsi="Times New Roman"/>
          <w:sz w:val="24"/>
          <w:szCs w:val="24"/>
        </w:rPr>
        <w:t xml:space="preserve"> </w:t>
      </w:r>
      <w:proofErr w:type="spellStart"/>
      <w:r>
        <w:rPr>
          <w:rFonts w:ascii="Times New Roman" w:hAnsi="Times New Roman"/>
          <w:sz w:val="24"/>
          <w:szCs w:val="24"/>
        </w:rPr>
        <w:t>d</w:t>
      </w:r>
      <w:r w:rsidRPr="00FC7539">
        <w:rPr>
          <w:rFonts w:ascii="Times New Roman" w:hAnsi="Times New Roman"/>
          <w:sz w:val="24"/>
          <w:szCs w:val="24"/>
        </w:rPr>
        <w:t>ịch</w:t>
      </w:r>
      <w:proofErr w:type="spellEnd"/>
      <w:r w:rsidRPr="00FC7539">
        <w:rPr>
          <w:rFonts w:ascii="Times New Roman" w:hAnsi="Times New Roman"/>
          <w:sz w:val="24"/>
          <w:szCs w:val="24"/>
        </w:rPr>
        <w:t xml:space="preserve"> Covid-19 </w:t>
      </w:r>
      <w:proofErr w:type="spellStart"/>
      <w:r w:rsidRPr="00FC7539">
        <w:rPr>
          <w:rFonts w:ascii="Times New Roman" w:hAnsi="Times New Roman"/>
          <w:sz w:val="24"/>
          <w:szCs w:val="24"/>
        </w:rPr>
        <w:t>bùng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ở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tỉnh</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w:t>
      </w:r>
      <w:r>
        <w:rPr>
          <w:rFonts w:ascii="Times New Roman" w:hAnsi="Times New Roman"/>
          <w:sz w:val="24"/>
          <w:szCs w:val="24"/>
        </w:rPr>
        <w:t xml:space="preserve">5, </w:t>
      </w:r>
      <w:proofErr w:type="spellStart"/>
      <w:r>
        <w:rPr>
          <w:rFonts w:ascii="Times New Roman" w:hAnsi="Times New Roman"/>
          <w:sz w:val="24"/>
          <w:szCs w:val="24"/>
        </w:rPr>
        <w:t>đặc</w:t>
      </w:r>
      <w:proofErr w:type="spellEnd"/>
      <w:r>
        <w:rPr>
          <w:rFonts w:ascii="Times New Roman" w:hAnsi="Times New Roman"/>
          <w:sz w:val="24"/>
          <w:szCs w:val="24"/>
        </w:rPr>
        <w:t xml:space="preserve"> </w:t>
      </w:r>
      <w:proofErr w:type="spellStart"/>
      <w:r>
        <w:rPr>
          <w:rFonts w:ascii="Times New Roman" w:hAnsi="Times New Roman"/>
          <w:sz w:val="24"/>
          <w:szCs w:val="24"/>
        </w:rPr>
        <w:t>biệt</w:t>
      </w:r>
      <w:proofErr w:type="spellEnd"/>
      <w:r>
        <w:rPr>
          <w:rFonts w:ascii="Times New Roman" w:hAnsi="Times New Roman"/>
          <w:sz w:val="24"/>
          <w:szCs w:val="24"/>
        </w:rPr>
        <w:t xml:space="preserve"> </w:t>
      </w:r>
      <w:proofErr w:type="spellStart"/>
      <w:r>
        <w:rPr>
          <w:rFonts w:ascii="Times New Roman" w:hAnsi="Times New Roman"/>
          <w:sz w:val="24"/>
          <w:szCs w:val="24"/>
        </w:rPr>
        <w:t>nghiêm</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ở TP.HCM, </w:t>
      </w:r>
      <w:proofErr w:type="spellStart"/>
      <w:r>
        <w:rPr>
          <w:rFonts w:ascii="Times New Roman" w:hAnsi="Times New Roman"/>
          <w:sz w:val="24"/>
          <w:szCs w:val="24"/>
        </w:rPr>
        <w:t>Bắc</w:t>
      </w:r>
      <w:proofErr w:type="spellEnd"/>
      <w:r>
        <w:rPr>
          <w:rFonts w:ascii="Times New Roman" w:hAnsi="Times New Roman"/>
          <w:sz w:val="24"/>
          <w:szCs w:val="24"/>
        </w:rPr>
        <w:t xml:space="preserve"> Giang…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không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lý</w:t>
      </w:r>
      <w:proofErr w:type="spellEnd"/>
      <w:r w:rsidRPr="00FC7539">
        <w:rPr>
          <w:rFonts w:ascii="Times New Roman" w:hAnsi="Times New Roman"/>
          <w:sz w:val="24"/>
          <w:szCs w:val="24"/>
        </w:rPr>
        <w:t xml:space="preserve">, </w:t>
      </w:r>
      <w:r w:rsidRPr="00FC7539">
        <w:rPr>
          <w:rFonts w:ascii="Times New Roman" w:hAnsi="Times New Roman"/>
          <w:sz w:val="24"/>
          <w:szCs w:val="24"/>
          <w:lang w:val="vi-VN"/>
        </w:rPr>
        <w:t xml:space="preserve">chỉ đạo,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đảm</w:t>
      </w:r>
      <w:proofErr w:type="spellEnd"/>
      <w:r w:rsidRPr="00FC7539">
        <w:rPr>
          <w:rFonts w:ascii="Times New Roman" w:hAnsi="Times New Roman"/>
          <w:sz w:val="24"/>
          <w:szCs w:val="24"/>
        </w:rPr>
        <w:t xml:space="preserve"> </w:t>
      </w:r>
      <w:proofErr w:type="gramStart"/>
      <w:r>
        <w:rPr>
          <w:rFonts w:ascii="Times New Roman" w:hAnsi="Times New Roman"/>
          <w:sz w:val="24"/>
          <w:szCs w:val="24"/>
        </w:rPr>
        <w:t>an</w:t>
      </w:r>
      <w:proofErr w:type="gramEnd"/>
      <w:r>
        <w:rPr>
          <w:rFonts w:ascii="Times New Roman" w:hAnsi="Times New Roman"/>
          <w:sz w:val="24"/>
          <w:szCs w:val="24"/>
        </w:rPr>
        <w:t xml:space="preserve"> </w:t>
      </w:r>
      <w:proofErr w:type="spellStart"/>
      <w:r w:rsidRPr="00FC7539">
        <w:rPr>
          <w:rFonts w:ascii="Times New Roman" w:hAnsi="Times New Roman"/>
          <w:sz w:val="24"/>
          <w:szCs w:val="24"/>
        </w:rPr>
        <w:t>sinh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lang w:val="nl-NL"/>
        </w:rPr>
        <w:t xml:space="preserve">. </w:t>
      </w:r>
      <w:r w:rsidRPr="00FC7539">
        <w:rPr>
          <w:rFonts w:ascii="Times New Roman" w:hAnsi="Times New Roman"/>
          <w:sz w:val="24"/>
          <w:szCs w:val="24"/>
          <w:lang w:val="it-IT"/>
        </w:rPr>
        <w:t>Chính phủ đã chỉ đạo các bộ, ngành, địa phương thực hiện đồng bộ, linh hoạt, hiệu quả “mục tiêu kép” vừa phòng, chống dịch bệnh, bảo vệ sức khỏe nhân dân, vừa phục hồi và phát triển kinh tế - xã hội, nỗ lực phấn đấu cao nhất thực hiện các mục tiêu, nhiệm vụ phát triển kinh tế - xã hội năm 2021.</w:t>
      </w:r>
      <w:r>
        <w:rPr>
          <w:rFonts w:ascii="Times New Roman" w:hAnsi="Times New Roman"/>
          <w:sz w:val="24"/>
          <w:szCs w:val="24"/>
          <w:lang w:val="it-IT"/>
        </w:rPr>
        <w:t xml:space="preserve"> Chiến dịch tiêm chủng Covid 19 được triển khai trên quy mô toàn quốc từ cuối quý 2/2021 với mục tiêu nhanh chóng đẩy lùi dịch bệnh trên quy mô toàn quốc.</w:t>
      </w:r>
      <w:r w:rsidRPr="00FC7539">
        <w:rPr>
          <w:rFonts w:ascii="Times New Roman" w:hAnsi="Times New Roman"/>
          <w:sz w:val="24"/>
          <w:szCs w:val="24"/>
          <w:lang w:val="it-IT"/>
        </w:rPr>
        <w:t xml:space="preserve"> </w:t>
      </w:r>
    </w:p>
    <w:p w14:paraId="70DEB960" w14:textId="059EC795" w:rsidR="00CC0FF9" w:rsidRPr="00F14111"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BA2A9A">
        <w:rPr>
          <w:rFonts w:ascii="Times New Roman" w:hAnsi="Times New Roman"/>
          <w:sz w:val="24"/>
          <w:szCs w:val="24"/>
          <w:lang w:val="nl-NL"/>
        </w:rPr>
        <w:t xml:space="preserve">Mặc dù nhiều khó khăn trong quý 2 tuy nhiên GDP quý 2 năm </w:t>
      </w:r>
      <w:r w:rsidR="00897BB3">
        <w:rPr>
          <w:rFonts w:ascii="Times New Roman" w:hAnsi="Times New Roman"/>
          <w:sz w:val="24"/>
          <w:szCs w:val="24"/>
          <w:lang w:val="nl-NL"/>
        </w:rPr>
        <w:t xml:space="preserve">2021 </w:t>
      </w:r>
      <w:r w:rsidRPr="00BA2A9A">
        <w:rPr>
          <w:rFonts w:ascii="Times New Roman" w:hAnsi="Times New Roman"/>
          <w:sz w:val="24"/>
          <w:szCs w:val="24"/>
          <w:lang w:val="nl-NL"/>
        </w:rPr>
        <w:t xml:space="preserve">vẫn tăng trưởng 6.61% so với cùng kỳ 2020, lũy kế 6 tháng GDP tăng trưởng 5,64%, cao hơn tốc độ tăng 1,82% của 6 tháng đầu năm 2020 nhưng thấp hơn tốc độ tăng 7,05% và 6,77% của cùng kỳ năm 2018 và 2019. Mặc dù mức tăng trưởng này chưa thực sự như mong đợi của thị trường, tuy nhiên trong bối cảnh dịch bệnh liên tục trong quý 1 và quý 2 thì mức tăng này đáng được ghi nhận tích cực. Nửa đầu năm 2021 </w:t>
      </w:r>
      <w:proofErr w:type="spellStart"/>
      <w:r w:rsidRPr="00BA2A9A">
        <w:rPr>
          <w:rFonts w:ascii="Times New Roman" w:hAnsi="Times New Roman"/>
          <w:sz w:val="24"/>
          <w:szCs w:val="24"/>
        </w:rPr>
        <w:t>ghi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sự</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phục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hồi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mạnh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mẽ</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của</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hoạt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động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Tính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chung</w:t>
      </w:r>
      <w:proofErr w:type="spellEnd"/>
      <w:r w:rsidRPr="00BA2A9A">
        <w:rPr>
          <w:rFonts w:ascii="Times New Roman" w:hAnsi="Times New Roman"/>
          <w:sz w:val="24"/>
          <w:szCs w:val="24"/>
        </w:rPr>
        <w:t xml:space="preserve"> 6 </w:t>
      </w:r>
      <w:proofErr w:type="spellStart"/>
      <w:r w:rsidRPr="00BA2A9A">
        <w:rPr>
          <w:rFonts w:ascii="Times New Roman" w:hAnsi="Times New Roman"/>
          <w:sz w:val="24"/>
          <w:szCs w:val="24"/>
        </w:rPr>
        <w:t>tháng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đầu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nay, </w:t>
      </w:r>
      <w:proofErr w:type="spellStart"/>
      <w:r w:rsidRPr="00BA2A9A">
        <w:rPr>
          <w:rFonts w:ascii="Times New Roman" w:hAnsi="Times New Roman"/>
          <w:sz w:val="24"/>
          <w:szCs w:val="24"/>
        </w:rPr>
        <w:t>tổng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kim</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ngạch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hàng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hóa</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316,73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32,2% so </w:t>
      </w:r>
      <w:proofErr w:type="spellStart"/>
      <w:r w:rsidRPr="00BA2A9A">
        <w:rPr>
          <w:rFonts w:ascii="Times New Roman" w:hAnsi="Times New Roman"/>
          <w:sz w:val="24"/>
          <w:szCs w:val="24"/>
        </w:rPr>
        <w:t>với</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cùng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kỳ</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trước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trong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đó</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xuất</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157,63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28,4%;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khẩu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đạt</w:t>
      </w:r>
      <w:proofErr w:type="spellEnd"/>
      <w:r w:rsidRPr="00BA2A9A">
        <w:rPr>
          <w:rFonts w:ascii="Times New Roman" w:hAnsi="Times New Roman"/>
          <w:sz w:val="24"/>
          <w:szCs w:val="24"/>
        </w:rPr>
        <w:t xml:space="preserve"> 159,1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 </w:t>
      </w:r>
      <w:proofErr w:type="spellStart"/>
      <w:r w:rsidRPr="00BA2A9A">
        <w:rPr>
          <w:rFonts w:ascii="Times New Roman" w:hAnsi="Times New Roman"/>
          <w:sz w:val="24"/>
          <w:szCs w:val="24"/>
        </w:rPr>
        <w:t>tăng</w:t>
      </w:r>
      <w:proofErr w:type="spellEnd"/>
      <w:r w:rsidRPr="00BA2A9A">
        <w:rPr>
          <w:rFonts w:ascii="Times New Roman" w:hAnsi="Times New Roman"/>
          <w:sz w:val="24"/>
          <w:szCs w:val="24"/>
        </w:rPr>
        <w:t xml:space="preserve"> 36,1%. </w:t>
      </w:r>
      <w:proofErr w:type="spellStart"/>
      <w:r w:rsidRPr="00BA2A9A">
        <w:rPr>
          <w:rFonts w:ascii="Times New Roman" w:hAnsi="Times New Roman"/>
          <w:sz w:val="24"/>
          <w:szCs w:val="24"/>
        </w:rPr>
        <w:t>Cán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cân</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thương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mại</w:t>
      </w:r>
      <w:proofErr w:type="spellEnd"/>
      <w:r w:rsidRPr="00BA2A9A">
        <w:rPr>
          <w:rFonts w:ascii="Times New Roman" w:hAnsi="Times New Roman"/>
          <w:sz w:val="24"/>
          <w:szCs w:val="24"/>
        </w:rPr>
        <w:t xml:space="preserve"> 6 </w:t>
      </w:r>
      <w:proofErr w:type="spellStart"/>
      <w:r w:rsidRPr="00BA2A9A">
        <w:rPr>
          <w:rFonts w:ascii="Times New Roman" w:hAnsi="Times New Roman"/>
          <w:sz w:val="24"/>
          <w:szCs w:val="24"/>
        </w:rPr>
        <w:t>tháng</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đầu</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năm</w:t>
      </w:r>
      <w:proofErr w:type="spellEnd"/>
      <w:r w:rsidRPr="00BA2A9A">
        <w:rPr>
          <w:rFonts w:ascii="Times New Roman" w:hAnsi="Times New Roman"/>
          <w:sz w:val="24"/>
          <w:szCs w:val="24"/>
        </w:rPr>
        <w:t xml:space="preserve"> 2021 </w:t>
      </w:r>
      <w:proofErr w:type="spellStart"/>
      <w:r w:rsidRPr="00BA2A9A">
        <w:rPr>
          <w:rFonts w:ascii="Times New Roman" w:hAnsi="Times New Roman"/>
          <w:sz w:val="24"/>
          <w:szCs w:val="24"/>
        </w:rPr>
        <w:t>ước</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tính</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nhập</w:t>
      </w:r>
      <w:proofErr w:type="spellEnd"/>
      <w:r w:rsidRPr="00BA2A9A">
        <w:rPr>
          <w:rFonts w:ascii="Times New Roman" w:hAnsi="Times New Roman"/>
          <w:sz w:val="24"/>
          <w:szCs w:val="24"/>
        </w:rPr>
        <w:t xml:space="preserve"> </w:t>
      </w:r>
      <w:proofErr w:type="spellStart"/>
      <w:r w:rsidRPr="00BA2A9A">
        <w:rPr>
          <w:rFonts w:ascii="Times New Roman" w:hAnsi="Times New Roman"/>
          <w:sz w:val="24"/>
          <w:szCs w:val="24"/>
        </w:rPr>
        <w:t>siêu</w:t>
      </w:r>
      <w:proofErr w:type="spellEnd"/>
      <w:r w:rsidRPr="00BA2A9A">
        <w:rPr>
          <w:rFonts w:ascii="Times New Roman" w:hAnsi="Times New Roman"/>
          <w:sz w:val="24"/>
          <w:szCs w:val="24"/>
        </w:rPr>
        <w:t xml:space="preserve"> 1,47 </w:t>
      </w:r>
      <w:proofErr w:type="spellStart"/>
      <w:r w:rsidRPr="00BA2A9A">
        <w:rPr>
          <w:rFonts w:ascii="Times New Roman" w:hAnsi="Times New Roman"/>
          <w:sz w:val="24"/>
          <w:szCs w:val="24"/>
        </w:rPr>
        <w:t>tỷ</w:t>
      </w:r>
      <w:proofErr w:type="spellEnd"/>
      <w:r w:rsidRPr="00BA2A9A">
        <w:rPr>
          <w:rFonts w:ascii="Times New Roman" w:hAnsi="Times New Roman"/>
          <w:sz w:val="24"/>
          <w:szCs w:val="24"/>
        </w:rPr>
        <w:t xml:space="preserve"> USD</w:t>
      </w:r>
      <w:r w:rsidRPr="008E5F94">
        <w:rPr>
          <w:rFonts w:ascii="Times New Roman" w:hAnsi="Times New Roman"/>
          <w:sz w:val="24"/>
          <w:szCs w:val="24"/>
        </w:rPr>
        <w:t>.</w:t>
      </w:r>
      <w:r w:rsidRPr="008E5F94">
        <w:rPr>
          <w:rFonts w:ascii="Times New Roman" w:hAnsi="Times New Roman"/>
          <w:sz w:val="24"/>
          <w:szCs w:val="24"/>
          <w:lang w:val="nl-NL"/>
        </w:rPr>
        <w:t xml:space="preserve"> Chỉ số Nhà quản trị mua hàng (PMI) tháng 6 năm 2021 bất ngờ ghi nhận ở mức 44.1, đây là mức PMI thấp nhất từ mức thấp kỷ lục 32.7 trong tháng 4/2020. Đây là hậu quả từ làn sóng dịch Covid 19 lần thứ 4, dẫn đến tình trạng phong tỏa các khu công nghiệp tại Bắc Giang, Quảng Ninh và cách ly xã hội ở TP.HCM. Tình hình thu hút vốn đầu tư trực tiếp nước ngoài (FDI) lũy kế trong 6 tháng đầu năm đã phần nào được hồi phục cả về vốn giải ngân và vốn đăng ký với mức tăng lần lượt là 6.8% và -2.6% so với cùng kỳ năm trước, đạt mức giải ngân gần 9.2 tỷ USD và đăng ký mới là hơn 15.2 tỷ USD. Trong khi đó, kiểm soát lạm phát là điểm sáng trong bức tranh vĩ mô của Việt Nam, Chính</w:t>
      </w:r>
      <w:r w:rsidRPr="00BA2A9A">
        <w:rPr>
          <w:rFonts w:ascii="Times New Roman" w:hAnsi="Times New Roman"/>
          <w:sz w:val="24"/>
          <w:szCs w:val="24"/>
          <w:lang w:val="nl-NL"/>
        </w:rPr>
        <w:t xml:space="preserve"> Phủ đã thành công trong việc kiểm soát CPI bình quân dưới mức mục tiêu 4%, mặc dù giá xăng dầu cũng như giá cả hàng hóa thế giới đều tăng mạnh tuy nhiên CPI tháng 06/2021 tăng 1.62% so với tháng 12 năm 2020 và tăng 2.41% so với cùng kỳ năm trước, mức tăng thấp nhất kể từ năm 2016.</w:t>
      </w:r>
      <w:r>
        <w:rPr>
          <w:rFonts w:ascii="Times New Roman" w:hAnsi="Times New Roman"/>
          <w:sz w:val="24"/>
          <w:szCs w:val="24"/>
          <w:lang w:val="nl-NL"/>
        </w:rPr>
        <w:t xml:space="preserve"> </w:t>
      </w:r>
    </w:p>
    <w:p w14:paraId="2B7A98C1" w14:textId="77777777" w:rsidR="00CC0FF9" w:rsidRPr="00F14111" w:rsidRDefault="00CC0FF9" w:rsidP="00CC0FF9">
      <w:pPr>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t xml:space="preserve">Riêng đối với </w:t>
      </w:r>
      <w:r w:rsidRPr="00F14111">
        <w:rPr>
          <w:rFonts w:ascii="Times New Roman" w:hAnsi="Times New Roman"/>
          <w:sz w:val="24"/>
          <w:szCs w:val="24"/>
          <w:lang w:val="nl-NL"/>
        </w:rPr>
        <w:t>thị trường chứng khoán Việt Nam</w:t>
      </w:r>
      <w:r>
        <w:rPr>
          <w:rFonts w:ascii="Times New Roman" w:hAnsi="Times New Roman"/>
          <w:sz w:val="24"/>
          <w:szCs w:val="24"/>
          <w:lang w:val="nl-NL"/>
        </w:rPr>
        <w:t>, tiếp đà tăng trưởng tích cực</w:t>
      </w:r>
      <w:r w:rsidRPr="00F14111">
        <w:rPr>
          <w:rFonts w:ascii="Times New Roman" w:hAnsi="Times New Roman"/>
          <w:sz w:val="24"/>
          <w:szCs w:val="24"/>
          <w:lang w:val="nl-NL"/>
        </w:rPr>
        <w:t xml:space="preserve"> của </w:t>
      </w:r>
      <w:r>
        <w:rPr>
          <w:rFonts w:ascii="Times New Roman" w:hAnsi="Times New Roman"/>
          <w:sz w:val="24"/>
          <w:szCs w:val="24"/>
          <w:lang w:val="nl-NL"/>
        </w:rPr>
        <w:t>năm 2020</w:t>
      </w:r>
      <w:r w:rsidRPr="00F14111">
        <w:rPr>
          <w:rFonts w:ascii="Times New Roman" w:hAnsi="Times New Roman"/>
          <w:sz w:val="24"/>
          <w:szCs w:val="24"/>
          <w:lang w:val="nl-NL"/>
        </w:rPr>
        <w:t>,</w:t>
      </w:r>
      <w:r>
        <w:rPr>
          <w:rFonts w:ascii="Times New Roman" w:hAnsi="Times New Roman"/>
          <w:sz w:val="24"/>
          <w:szCs w:val="24"/>
          <w:lang w:val="nl-NL"/>
        </w:rPr>
        <w:t xml:space="preserve"> thị trường chứng khoán tiếp tục tăng mạnh và vượt qua mức điểm kỷ lục 1200 của VN Index trong những ngày đầu tháng 4. </w:t>
      </w:r>
      <w:r w:rsidRPr="00F14111">
        <w:rPr>
          <w:rFonts w:ascii="Times New Roman" w:hAnsi="Times New Roman"/>
          <w:sz w:val="24"/>
          <w:szCs w:val="24"/>
          <w:lang w:val="nl-NL"/>
        </w:rPr>
        <w:t xml:space="preserve"> </w:t>
      </w:r>
      <w:r>
        <w:rPr>
          <w:rFonts w:ascii="Times New Roman" w:hAnsi="Times New Roman"/>
          <w:sz w:val="24"/>
          <w:szCs w:val="24"/>
          <w:lang w:val="nl-NL"/>
        </w:rPr>
        <w:t>Mặc dù</w:t>
      </w:r>
      <w:r w:rsidRPr="00F14111">
        <w:rPr>
          <w:rFonts w:ascii="Times New Roman" w:hAnsi="Times New Roman"/>
          <w:sz w:val="24"/>
          <w:szCs w:val="24"/>
          <w:lang w:val="nl-NL"/>
        </w:rPr>
        <w:t xml:space="preserve"> </w:t>
      </w:r>
      <w:r>
        <w:rPr>
          <w:rFonts w:ascii="Times New Roman" w:hAnsi="Times New Roman"/>
          <w:sz w:val="24"/>
          <w:szCs w:val="24"/>
          <w:lang w:val="nl-NL"/>
        </w:rPr>
        <w:t>các nhà đầu tư nước ngoài tiếp tục bán ròng trong 6 tháng đầu năm tuy nhiên dòng tiền khối nội là động lực chính cho thị trường tăng trưởng</w:t>
      </w:r>
      <w:r w:rsidRPr="00F14111">
        <w:rPr>
          <w:rFonts w:ascii="Times New Roman" w:hAnsi="Times New Roman"/>
          <w:sz w:val="24"/>
          <w:szCs w:val="24"/>
          <w:lang w:val="nl-NL"/>
        </w:rPr>
        <w:t xml:space="preserve">. Chỉ số VN-index </w:t>
      </w:r>
      <w:r>
        <w:rPr>
          <w:rFonts w:ascii="Times New Roman" w:hAnsi="Times New Roman"/>
          <w:sz w:val="24"/>
          <w:szCs w:val="24"/>
          <w:lang w:val="nl-NL"/>
        </w:rPr>
        <w:t>đóng cửa ngày 30/06/2021</w:t>
      </w:r>
      <w:r w:rsidRPr="00F14111">
        <w:rPr>
          <w:rFonts w:ascii="Times New Roman" w:hAnsi="Times New Roman"/>
          <w:sz w:val="24"/>
          <w:szCs w:val="24"/>
          <w:lang w:val="nl-NL"/>
        </w:rPr>
        <w:t xml:space="preserve"> đạt 1.</w:t>
      </w:r>
      <w:r>
        <w:rPr>
          <w:rFonts w:ascii="Times New Roman" w:hAnsi="Times New Roman"/>
          <w:sz w:val="24"/>
          <w:szCs w:val="24"/>
          <w:lang w:val="nl-NL"/>
        </w:rPr>
        <w:t>408</w:t>
      </w:r>
      <w:r w:rsidRPr="00F14111">
        <w:rPr>
          <w:rFonts w:ascii="Times New Roman" w:hAnsi="Times New Roman"/>
          <w:sz w:val="24"/>
          <w:szCs w:val="24"/>
          <w:lang w:val="nl-NL"/>
        </w:rPr>
        <w:t>,</w:t>
      </w:r>
      <w:r>
        <w:rPr>
          <w:rFonts w:ascii="Times New Roman" w:hAnsi="Times New Roman"/>
          <w:sz w:val="24"/>
          <w:szCs w:val="24"/>
          <w:lang w:val="nl-NL"/>
        </w:rPr>
        <w:t>5</w:t>
      </w:r>
      <w:r w:rsidRPr="00F14111">
        <w:rPr>
          <w:rFonts w:ascii="Times New Roman" w:hAnsi="Times New Roman"/>
          <w:sz w:val="24"/>
          <w:szCs w:val="24"/>
          <w:lang w:val="nl-NL"/>
        </w:rPr>
        <w:t xml:space="preserve"> điểm</w:t>
      </w:r>
      <w:r>
        <w:rPr>
          <w:rFonts w:ascii="Times New Roman" w:hAnsi="Times New Roman"/>
          <w:sz w:val="24"/>
          <w:szCs w:val="24"/>
          <w:lang w:val="nl-NL"/>
        </w:rPr>
        <w:t xml:space="preserve"> tăng 27,6% so với cuối năm 2020, m</w:t>
      </w:r>
      <w:r w:rsidRPr="00223363">
        <w:rPr>
          <w:rFonts w:ascii="Times New Roman" w:hAnsi="Times New Roman"/>
          <w:sz w:val="24"/>
          <w:szCs w:val="24"/>
          <w:lang w:val="nl-NL"/>
        </w:rPr>
        <w:t xml:space="preserve">ức vốn hóa thị trường đạt </w:t>
      </w:r>
      <w:r>
        <w:rPr>
          <w:rFonts w:ascii="Times New Roman" w:hAnsi="Times New Roman"/>
          <w:sz w:val="24"/>
          <w:szCs w:val="24"/>
          <w:lang w:val="nl-NL"/>
        </w:rPr>
        <w:t>hơn</w:t>
      </w:r>
      <w:r w:rsidRPr="00223363">
        <w:rPr>
          <w:rFonts w:ascii="Times New Roman" w:hAnsi="Times New Roman"/>
          <w:sz w:val="24"/>
          <w:szCs w:val="24"/>
          <w:lang w:val="nl-NL"/>
        </w:rPr>
        <w:t xml:space="preserve"> 6</w:t>
      </w:r>
      <w:r>
        <w:rPr>
          <w:rFonts w:ascii="Times New Roman" w:hAnsi="Times New Roman"/>
          <w:sz w:val="24"/>
          <w:szCs w:val="24"/>
          <w:lang w:val="nl-NL"/>
        </w:rPr>
        <w:t>.8</w:t>
      </w:r>
      <w:r w:rsidRPr="00223363">
        <w:rPr>
          <w:rFonts w:ascii="Times New Roman" w:hAnsi="Times New Roman"/>
          <w:sz w:val="24"/>
          <w:szCs w:val="24"/>
          <w:lang w:val="nl-NL"/>
        </w:rPr>
        <w:t xml:space="preserve"> triệu tỷ đồng, tăng</w:t>
      </w:r>
      <w:r>
        <w:rPr>
          <w:rFonts w:ascii="Times New Roman" w:hAnsi="Times New Roman"/>
          <w:sz w:val="24"/>
          <w:szCs w:val="24"/>
          <w:lang w:val="nl-NL"/>
        </w:rPr>
        <w:t xml:space="preserve"> gần</w:t>
      </w:r>
      <w:r w:rsidRPr="00223363">
        <w:rPr>
          <w:rFonts w:ascii="Times New Roman" w:hAnsi="Times New Roman"/>
          <w:sz w:val="24"/>
          <w:szCs w:val="24"/>
          <w:lang w:val="nl-NL"/>
        </w:rPr>
        <w:t xml:space="preserve"> </w:t>
      </w:r>
      <w:r>
        <w:rPr>
          <w:rFonts w:ascii="Times New Roman" w:hAnsi="Times New Roman"/>
          <w:sz w:val="24"/>
          <w:szCs w:val="24"/>
          <w:lang w:val="nl-NL"/>
        </w:rPr>
        <w:t>29.2</w:t>
      </w:r>
      <w:r w:rsidRPr="00223363">
        <w:rPr>
          <w:rFonts w:ascii="Times New Roman" w:hAnsi="Times New Roman"/>
          <w:sz w:val="24"/>
          <w:szCs w:val="24"/>
          <w:lang w:val="nl-NL"/>
        </w:rPr>
        <w:t xml:space="preserve">% so với cuối năm 2020; giá trị giao dịch bình quân </w:t>
      </w:r>
      <w:r>
        <w:rPr>
          <w:rFonts w:ascii="Times New Roman" w:hAnsi="Times New Roman"/>
          <w:sz w:val="24"/>
          <w:szCs w:val="24"/>
          <w:lang w:val="nl-NL"/>
        </w:rPr>
        <w:t xml:space="preserve">hơn 1 tỳ USD/ </w:t>
      </w:r>
      <w:r w:rsidRPr="00223363">
        <w:rPr>
          <w:rFonts w:ascii="Times New Roman" w:hAnsi="Times New Roman"/>
          <w:sz w:val="24"/>
          <w:szCs w:val="24"/>
          <w:lang w:val="nl-NL"/>
        </w:rPr>
        <w:t>phiên</w:t>
      </w:r>
      <w:r>
        <w:rPr>
          <w:rFonts w:ascii="Times New Roman" w:hAnsi="Times New Roman"/>
          <w:sz w:val="24"/>
          <w:szCs w:val="24"/>
          <w:lang w:val="nl-NL"/>
        </w:rPr>
        <w:t xml:space="preserve"> nhờ dòng tiền của nhà đầu tư trong nước dẫn dắt</w:t>
      </w:r>
      <w:r w:rsidRPr="00223363">
        <w:rPr>
          <w:rFonts w:ascii="Times New Roman" w:hAnsi="Times New Roman"/>
          <w:sz w:val="24"/>
          <w:szCs w:val="24"/>
          <w:lang w:val="nl-NL"/>
        </w:rPr>
        <w:t xml:space="preserve">. </w:t>
      </w:r>
      <w:r w:rsidRPr="00A609C4">
        <w:rPr>
          <w:rFonts w:ascii="Times New Roman" w:hAnsi="Times New Roman"/>
          <w:sz w:val="24"/>
          <w:szCs w:val="24"/>
          <w:lang w:val="nl-NL"/>
        </w:rPr>
        <w:t>Số lượng tài khoản nhà đầu tư trong nước mở mới đạt mức cao kỷ lục. Chỉ trong 6 tháng đầu năm 2021, tổng số lượng tài khoản nhà đầu tư trong nước mở mới đã tăng 58% so với cả năm 2020.</w:t>
      </w:r>
    </w:p>
    <w:p w14:paraId="1942E7C7" w14:textId="77777777" w:rsidR="00CC0FF9" w:rsidRPr="00F14111" w:rsidRDefault="00CC0FF9" w:rsidP="00CC0FF9">
      <w:pPr>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ab/>
      </w:r>
      <w:r w:rsidRPr="00F14111">
        <w:rPr>
          <w:rFonts w:ascii="Times New Roman" w:hAnsi="Times New Roman"/>
          <w:sz w:val="24"/>
          <w:szCs w:val="24"/>
          <w:lang w:val="nl-NL"/>
        </w:rPr>
        <w:t xml:space="preserve">Trước đó,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 </w:t>
      </w:r>
      <w:bookmarkStart w:id="9" w:name="_Hlk46306129"/>
      <w:r w:rsidRPr="00F14111">
        <w:rPr>
          <w:rFonts w:ascii="Times New Roman" w:hAnsi="Times New Roman"/>
          <w:sz w:val="24"/>
          <w:szCs w:val="24"/>
          <w:lang w:val="nl-NL"/>
        </w:rPr>
        <w:t>và gần nhất trong dịp kỷ niệm 20 năm thị trường chứng khoán Việt nam, Chủ tịch UBCKNN đã phát đi tín hiệu lạc quan về khả năng thị trường chứng khoán Việt nam được nâng hạn trước năm 2023 là tương đối chắc chắc</w:t>
      </w:r>
      <w:bookmarkEnd w:id="9"/>
      <w:r w:rsidRPr="00F14111">
        <w:rPr>
          <w:rFonts w:ascii="Times New Roman" w:hAnsi="Times New Roman"/>
          <w:sz w:val="24"/>
          <w:szCs w:val="24"/>
          <w:lang w:val="nl-NL"/>
        </w:rPr>
        <w:t>. Bên cạnh đó, thị trường vẫn tiếp tục chờ đón những sự kiện mang tính xúc tác giúp thị trường tăng trưởng bền vững hơn, như việc thành lập các quỹ chỉ số tài chính (VNFIN LEAD đã giao dịch từ giữa tháng 3 năm nay, VNFIN SELECT), quỹ chỉ số các cổ phiếu hết room (VN Diamond giao dịch từ giữa tháng 5 năm 2020), quỹ hưu trí (pension fund). Một sự kiện mang tính cơ cấu phát triển lâu dài cho thị trường chứng khoán là Luật chứng khoán mới hiệu lực từ đầu năm 2021.</w:t>
      </w:r>
    </w:p>
    <w:p w14:paraId="36C27198" w14:textId="77777777" w:rsidR="00CC0FF9"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F14111">
        <w:rPr>
          <w:rFonts w:ascii="Times New Roman" w:hAnsi="Times New Roman"/>
          <w:sz w:val="24"/>
          <w:szCs w:val="24"/>
          <w:lang w:val="nl-NL"/>
        </w:rPr>
        <w:t xml:space="preserve">Như vậy, </w:t>
      </w:r>
      <w:r>
        <w:rPr>
          <w:rFonts w:ascii="Times New Roman" w:hAnsi="Times New Roman"/>
          <w:sz w:val="24"/>
          <w:szCs w:val="24"/>
          <w:lang w:val="nl-NL"/>
        </w:rPr>
        <w:t xml:space="preserve">sau khi triển khai tiêm chủng quy mô toàn quốc, vấn đề dịch bệnh Covid-19 của Việt Nam hoàn toàn có thể kiêm soát trong khoảng cuối năm 2021 đến đầu năm 2022. Đồng thời hệ thống giao dịch mới của HOSE triển khai từ tháng 7/2021 đã khắc phục được sự cố quá tải trong giao dịch, thanh khoản thị trường có thể đạt được những cột mốc mới. Bên cạnh các yếu tố rủi ro từ giá cả hàng hóa, lạm phát cần tiếp tục được theo dõi và kiểm soát thì </w:t>
      </w:r>
      <w:r w:rsidRPr="00F14111">
        <w:rPr>
          <w:rFonts w:ascii="Times New Roman" w:hAnsi="Times New Roman"/>
          <w:sz w:val="24"/>
          <w:szCs w:val="24"/>
          <w:lang w:val="nl-NL"/>
        </w:rPr>
        <w:t>điểm tựa ổn định vĩ mô và nội lực nền kinh tế, cùng với nền tản</w:t>
      </w:r>
      <w:r>
        <w:rPr>
          <w:rFonts w:ascii="Times New Roman" w:hAnsi="Times New Roman"/>
          <w:sz w:val="24"/>
          <w:szCs w:val="24"/>
          <w:lang w:val="nl-NL"/>
        </w:rPr>
        <w:t>g</w:t>
      </w:r>
      <w:r w:rsidRPr="00F14111">
        <w:rPr>
          <w:rFonts w:ascii="Times New Roman" w:hAnsi="Times New Roman"/>
          <w:sz w:val="24"/>
          <w:szCs w:val="24"/>
          <w:lang w:val="nl-NL"/>
        </w:rPr>
        <w:t xml:space="preserve"> phát triển lâu dài của thị trường chứng khoán sẽ duy trì động lực và triển vọng tốt cho hoạt động của Quỹ về dài hạn.</w:t>
      </w:r>
    </w:p>
    <w:p w14:paraId="3A960205" w14:textId="77777777" w:rsidR="006D6A1B" w:rsidRPr="00A90AB7" w:rsidRDefault="006D6A1B" w:rsidP="006D6A1B">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ED727E">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450792" w:rsidRPr="00A90AB7" w14:paraId="013F1FB5" w14:textId="77777777" w:rsidTr="00EF43D6">
        <w:tc>
          <w:tcPr>
            <w:tcW w:w="1825" w:type="pct"/>
            <w:shd w:val="clear" w:color="auto" w:fill="auto"/>
            <w:vAlign w:val="center"/>
          </w:tcPr>
          <w:p w14:paraId="6740DD82"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6D74CC59"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26.32%</w:t>
            </w:r>
          </w:p>
        </w:tc>
        <w:tc>
          <w:tcPr>
            <w:tcW w:w="1024" w:type="pct"/>
            <w:shd w:val="clear" w:color="auto" w:fill="auto"/>
            <w:vAlign w:val="center"/>
          </w:tcPr>
          <w:p w14:paraId="1F42AD25" w14:textId="0D4D7E8B"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3A7ABF3A"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16.81%</w:t>
            </w:r>
          </w:p>
        </w:tc>
      </w:tr>
      <w:tr w:rsidR="00450792" w:rsidRPr="00A90AB7" w14:paraId="1A1556A7" w14:textId="77777777" w:rsidTr="00EF43D6">
        <w:tc>
          <w:tcPr>
            <w:tcW w:w="1825" w:type="pct"/>
            <w:shd w:val="clear" w:color="auto" w:fill="auto"/>
            <w:vAlign w:val="center"/>
          </w:tcPr>
          <w:p w14:paraId="6DB00EA9"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34D05E4E"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40.14%</w:t>
            </w:r>
          </w:p>
        </w:tc>
        <w:tc>
          <w:tcPr>
            <w:tcW w:w="1024" w:type="pct"/>
            <w:shd w:val="clear" w:color="auto" w:fill="auto"/>
            <w:vAlign w:val="center"/>
          </w:tcPr>
          <w:p w14:paraId="30BCD4DB" w14:textId="4BC4DCE4"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1206D57C"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31.28%</w:t>
            </w:r>
          </w:p>
        </w:tc>
      </w:tr>
      <w:tr w:rsidR="00450792" w:rsidRPr="00A90AB7" w14:paraId="5AE0FE5D" w14:textId="77777777" w:rsidTr="00EF43D6">
        <w:tc>
          <w:tcPr>
            <w:tcW w:w="1825" w:type="pct"/>
            <w:shd w:val="clear" w:color="auto" w:fill="auto"/>
            <w:vAlign w:val="center"/>
          </w:tcPr>
          <w:p w14:paraId="3FAA0781"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38BEA66F"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c>
          <w:tcPr>
            <w:tcW w:w="1024" w:type="pct"/>
            <w:shd w:val="clear" w:color="auto" w:fill="auto"/>
            <w:vAlign w:val="center"/>
          </w:tcPr>
          <w:p w14:paraId="79797E82" w14:textId="5A5AFD1B"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2B38BF7A"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61.98%</w:t>
            </w:r>
          </w:p>
        </w:tc>
      </w:tr>
      <w:tr w:rsidR="00450792" w:rsidRPr="00A90AB7" w14:paraId="275BF76B" w14:textId="77777777" w:rsidTr="001914D7">
        <w:tc>
          <w:tcPr>
            <w:tcW w:w="1825" w:type="pct"/>
            <w:shd w:val="clear" w:color="auto" w:fill="auto"/>
            <w:vAlign w:val="center"/>
          </w:tcPr>
          <w:p w14:paraId="048B22BC" w14:textId="77777777" w:rsidR="00450792" w:rsidRPr="00A90AB7" w:rsidRDefault="00450792" w:rsidP="00450792">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0503D0D6"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c>
          <w:tcPr>
            <w:tcW w:w="1024" w:type="pct"/>
            <w:shd w:val="clear" w:color="auto" w:fill="auto"/>
            <w:vAlign w:val="center"/>
          </w:tcPr>
          <w:p w14:paraId="32106B9E" w14:textId="6FACCC52"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3B168576" w:rsidR="00450792" w:rsidRPr="00A90AB7" w:rsidRDefault="00450792" w:rsidP="00450792">
            <w:pPr>
              <w:tabs>
                <w:tab w:val="left" w:pos="540"/>
              </w:tabs>
              <w:spacing w:before="120" w:after="120" w:line="240" w:lineRule="auto"/>
              <w:ind w:left="57" w:right="57"/>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21.34%</w:t>
            </w:r>
          </w:p>
        </w:tc>
      </w:tr>
      <w:tr w:rsidR="00BE6F63" w:rsidRPr="00A90AB7" w14:paraId="331CA308" w14:textId="77777777" w:rsidTr="0017714B">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17714B">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 Chỉ số tham chiếu: Dựa trên giá công bố giao dịch cuối cùng ở thời điểm gần nhất.</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6641550E" w:rsidR="00753C12" w:rsidRDefault="00450792"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7368D951" wp14:editId="24898BB8">
            <wp:extent cx="5987332" cy="3180521"/>
            <wp:effectExtent l="0" t="0" r="13970" b="1270"/>
            <wp:docPr id="1" name="Chart 1">
              <a:extLst xmlns:a="http://schemas.openxmlformats.org/drawingml/2006/main">
                <a:ext uri="{FF2B5EF4-FFF2-40B4-BE49-F238E27FC236}">
                  <a16:creationId xmlns:a16="http://schemas.microsoft.com/office/drawing/2014/main" id="{FC64695C-35F6-4642-85C7-F3E40A8BB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0E9B0F47" w:rsidR="0017714B" w:rsidRPr="00A90AB7" w:rsidRDefault="007104D6" w:rsidP="0017714B">
            <w:pPr>
              <w:tabs>
                <w:tab w:val="left" w:pos="540"/>
              </w:tabs>
              <w:spacing w:before="120" w:after="0" w:line="240" w:lineRule="auto"/>
              <w:jc w:val="center"/>
              <w:rPr>
                <w:rFonts w:ascii="Times New Roman" w:eastAsia="Times New Roman" w:hAnsi="Times New Roman"/>
                <w:sz w:val="24"/>
                <w:szCs w:val="24"/>
                <w:lang w:val="nl-NL"/>
              </w:rPr>
            </w:pPr>
            <w:r w:rsidRPr="007104D6">
              <w:rPr>
                <w:rFonts w:ascii="Times New Roman" w:eastAsia="Times New Roman" w:hAnsi="Times New Roman"/>
                <w:sz w:val="24"/>
                <w:szCs w:val="24"/>
                <w:lang w:val="nl-NL"/>
              </w:rPr>
              <w:t>30/06</w:t>
            </w:r>
            <w:r w:rsidR="0017714B"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20AA93CD" w:rsidR="0017714B" w:rsidRPr="00A90AB7" w:rsidRDefault="007104D6" w:rsidP="0017714B">
            <w:pPr>
              <w:tabs>
                <w:tab w:val="left" w:pos="540"/>
              </w:tabs>
              <w:spacing w:before="120" w:after="0" w:line="240" w:lineRule="auto"/>
              <w:jc w:val="center"/>
              <w:rPr>
                <w:rFonts w:ascii="Times New Roman" w:eastAsia="Times New Roman" w:hAnsi="Times New Roman"/>
                <w:sz w:val="24"/>
                <w:szCs w:val="24"/>
                <w:lang w:val="nl-NL"/>
              </w:rPr>
            </w:pPr>
            <w:r w:rsidRPr="007104D6">
              <w:rPr>
                <w:rFonts w:ascii="Times New Roman" w:eastAsia="Times New Roman" w:hAnsi="Times New Roman"/>
                <w:sz w:val="24"/>
                <w:szCs w:val="24"/>
                <w:lang w:val="nl-NL"/>
              </w:rPr>
              <w:t>30/06</w:t>
            </w:r>
            <w:r w:rsidR="0017714B"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450792" w:rsidRPr="00A90AB7" w14:paraId="20DB74E9" w14:textId="77777777" w:rsidTr="00A354B3">
        <w:trPr>
          <w:trHeight w:val="216"/>
        </w:trPr>
        <w:tc>
          <w:tcPr>
            <w:tcW w:w="1777" w:type="pct"/>
            <w:shd w:val="clear" w:color="auto" w:fill="auto"/>
          </w:tcPr>
          <w:p w14:paraId="3374F58E" w14:textId="77777777" w:rsidR="00450792" w:rsidRPr="00A90AB7" w:rsidRDefault="00450792" w:rsidP="0045079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vAlign w:val="center"/>
          </w:tcPr>
          <w:p w14:paraId="28FD06C7" w14:textId="6C5C8ACE"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 xml:space="preserve">                                  141,816,547,549 </w:t>
            </w:r>
          </w:p>
        </w:tc>
        <w:tc>
          <w:tcPr>
            <w:tcW w:w="1019" w:type="pct"/>
            <w:shd w:val="clear" w:color="auto" w:fill="auto"/>
            <w:vAlign w:val="center"/>
          </w:tcPr>
          <w:p w14:paraId="0DF9D0FE" w14:textId="3545F666"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 xml:space="preserve">                                    72,524,507,896 </w:t>
            </w:r>
          </w:p>
        </w:tc>
        <w:tc>
          <w:tcPr>
            <w:tcW w:w="1189" w:type="pct"/>
            <w:shd w:val="clear" w:color="auto" w:fill="auto"/>
            <w:vAlign w:val="center"/>
          </w:tcPr>
          <w:p w14:paraId="43D36BCD" w14:textId="580A80BE"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95.54%</w:t>
            </w:r>
          </w:p>
        </w:tc>
      </w:tr>
      <w:tr w:rsidR="00450792" w:rsidRPr="00A90AB7" w14:paraId="57472793" w14:textId="77777777" w:rsidTr="005D16DA">
        <w:tc>
          <w:tcPr>
            <w:tcW w:w="1777" w:type="pct"/>
            <w:shd w:val="clear" w:color="auto" w:fill="auto"/>
          </w:tcPr>
          <w:p w14:paraId="1E20D587" w14:textId="77777777" w:rsidR="00450792" w:rsidRPr="00A90AB7" w:rsidRDefault="00450792" w:rsidP="00450792">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vAlign w:val="center"/>
          </w:tcPr>
          <w:p w14:paraId="6CAC6F70" w14:textId="25F9E320"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 xml:space="preserve">                                          16,198.36   </w:t>
            </w:r>
          </w:p>
        </w:tc>
        <w:tc>
          <w:tcPr>
            <w:tcW w:w="1019" w:type="pct"/>
            <w:shd w:val="clear" w:color="auto" w:fill="auto"/>
            <w:vAlign w:val="center"/>
          </w:tcPr>
          <w:p w14:paraId="2E3BFBE6" w14:textId="7E8AFDE4"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 xml:space="preserve">                                            9,094.67   </w:t>
            </w:r>
          </w:p>
        </w:tc>
        <w:tc>
          <w:tcPr>
            <w:tcW w:w="1189" w:type="pct"/>
            <w:shd w:val="clear" w:color="auto" w:fill="auto"/>
            <w:vAlign w:val="center"/>
          </w:tcPr>
          <w:p w14:paraId="4E3B62B9" w14:textId="353B07AB" w:rsidR="00450792" w:rsidRPr="00A90AB7" w:rsidRDefault="00450792" w:rsidP="00ED727E">
            <w:pPr>
              <w:tabs>
                <w:tab w:val="left" w:pos="540"/>
              </w:tabs>
              <w:spacing w:before="100" w:beforeAutospacing="1" w:after="100" w:afterAutospacing="1" w:line="240" w:lineRule="auto"/>
              <w:contextualSpacing/>
              <w:jc w:val="center"/>
              <w:rPr>
                <w:rFonts w:ascii="Times New Roman" w:eastAsia="Times New Roman" w:hAnsi="Times New Roman"/>
                <w:sz w:val="24"/>
                <w:szCs w:val="24"/>
                <w:lang w:val="nl-NL"/>
              </w:rPr>
            </w:pPr>
            <w:r w:rsidRPr="00450792">
              <w:rPr>
                <w:rFonts w:ascii="Times New Roman" w:eastAsia="Times New Roman" w:hAnsi="Times New Roman"/>
                <w:sz w:val="24"/>
                <w:szCs w:val="24"/>
                <w:lang w:val="nl-NL"/>
              </w:rPr>
              <w:t>78.11%</w:t>
            </w:r>
          </w:p>
        </w:tc>
      </w:tr>
    </w:tbl>
    <w:p w14:paraId="4627DE81" w14:textId="359DB2FF"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Quỹ mới thành lập và đi vào hoạt động từ ngày 03 tháng 01 năm 2019,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2571C305" w:rsidR="00DC1FD1"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185363D8" w14:textId="77777777" w:rsidR="00ED727E" w:rsidRDefault="00ED727E"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4ED89547" w14:textId="6EF808AA"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727E">
        <w:rPr>
          <w:rFonts w:ascii="Times New Roman" w:hAnsi="Times New Roman"/>
          <w:b/>
          <w:sz w:val="24"/>
          <w:szCs w:val="24"/>
          <w:lang w:val="nl-NL"/>
        </w:rPr>
        <w:t xml:space="preserve">4.2. Thống kê về Nhà đầu tư nắm giữ Chứng chỉ </w:t>
      </w:r>
      <w:r w:rsidR="008F2B2D" w:rsidRPr="00ED727E">
        <w:rPr>
          <w:rFonts w:ascii="Times New Roman" w:hAnsi="Times New Roman"/>
          <w:b/>
          <w:sz w:val="24"/>
          <w:szCs w:val="24"/>
          <w:lang w:val="nl-NL"/>
        </w:rPr>
        <w:t>Q</w:t>
      </w:r>
      <w:r w:rsidRPr="00ED727E">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7104D6">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tcPr>
          <w:p w14:paraId="10C214F5" w14:textId="1A7B3F65" w:rsidR="00935B7F" w:rsidRPr="00A90AB7" w:rsidRDefault="00935B7F" w:rsidP="00935B7F">
            <w:pPr>
              <w:spacing w:after="0" w:line="240" w:lineRule="auto"/>
              <w:jc w:val="center"/>
              <w:rPr>
                <w:rFonts w:ascii="Times New Roman" w:eastAsia="Times New Roman" w:hAnsi="Times New Roman"/>
                <w:sz w:val="24"/>
                <w:szCs w:val="24"/>
              </w:rPr>
            </w:pPr>
          </w:p>
        </w:tc>
        <w:tc>
          <w:tcPr>
            <w:tcW w:w="2692" w:type="dxa"/>
            <w:tcBorders>
              <w:top w:val="nil"/>
              <w:left w:val="nil"/>
              <w:bottom w:val="single" w:sz="8" w:space="0" w:color="auto"/>
              <w:right w:val="single" w:sz="8" w:space="0" w:color="auto"/>
            </w:tcBorders>
            <w:shd w:val="clear" w:color="auto" w:fill="auto"/>
          </w:tcPr>
          <w:p w14:paraId="00AAC842" w14:textId="7C245FC7" w:rsidR="00935B7F" w:rsidRPr="00A90AB7" w:rsidRDefault="00935B7F" w:rsidP="00935B7F">
            <w:pPr>
              <w:spacing w:after="0" w:line="240" w:lineRule="auto"/>
              <w:jc w:val="center"/>
              <w:rPr>
                <w:rFonts w:ascii="Times New Roman" w:eastAsia="Times New Roman" w:hAnsi="Times New Roman"/>
                <w:sz w:val="24"/>
                <w:szCs w:val="24"/>
              </w:rPr>
            </w:pPr>
          </w:p>
        </w:tc>
        <w:tc>
          <w:tcPr>
            <w:tcW w:w="1696" w:type="dxa"/>
            <w:tcBorders>
              <w:top w:val="nil"/>
              <w:left w:val="nil"/>
              <w:bottom w:val="single" w:sz="8" w:space="0" w:color="auto"/>
              <w:right w:val="single" w:sz="8" w:space="0" w:color="auto"/>
            </w:tcBorders>
            <w:shd w:val="clear" w:color="auto" w:fill="auto"/>
          </w:tcPr>
          <w:p w14:paraId="32D149DE" w14:textId="097C2F04" w:rsidR="00935B7F" w:rsidRPr="00A90AB7" w:rsidRDefault="00935B7F" w:rsidP="00935B7F">
            <w:pPr>
              <w:spacing w:after="0" w:line="240" w:lineRule="auto"/>
              <w:jc w:val="center"/>
              <w:rPr>
                <w:rFonts w:ascii="Times New Roman" w:eastAsia="Times New Roman" w:hAnsi="Times New Roman"/>
                <w:sz w:val="24"/>
                <w:szCs w:val="24"/>
              </w:rPr>
            </w:pPr>
          </w:p>
        </w:tc>
      </w:tr>
      <w:tr w:rsidR="005E77D1" w:rsidRPr="00A90AB7" w14:paraId="5AC8833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5E77D1" w:rsidRPr="00A90AB7" w:rsidRDefault="005E77D1" w:rsidP="005E77D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0202344F"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708</w:t>
            </w:r>
          </w:p>
        </w:tc>
        <w:tc>
          <w:tcPr>
            <w:tcW w:w="2692" w:type="dxa"/>
            <w:tcBorders>
              <w:top w:val="nil"/>
              <w:left w:val="nil"/>
              <w:bottom w:val="single" w:sz="8" w:space="0" w:color="auto"/>
              <w:right w:val="single" w:sz="8" w:space="0" w:color="auto"/>
            </w:tcBorders>
            <w:shd w:val="clear" w:color="auto" w:fill="auto"/>
          </w:tcPr>
          <w:p w14:paraId="0EBE36E9" w14:textId="299D5F44"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626,486.53</w:t>
            </w:r>
          </w:p>
        </w:tc>
        <w:tc>
          <w:tcPr>
            <w:tcW w:w="1696" w:type="dxa"/>
            <w:tcBorders>
              <w:top w:val="nil"/>
              <w:left w:val="nil"/>
              <w:bottom w:val="single" w:sz="8" w:space="0" w:color="auto"/>
              <w:right w:val="single" w:sz="8" w:space="0" w:color="auto"/>
            </w:tcBorders>
            <w:shd w:val="clear" w:color="auto" w:fill="auto"/>
          </w:tcPr>
          <w:p w14:paraId="324D4E7B" w14:textId="155C7FC3"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7.16%</w:t>
            </w:r>
          </w:p>
        </w:tc>
      </w:tr>
      <w:tr w:rsidR="005E77D1" w:rsidRPr="00A90AB7" w14:paraId="112DFD1E"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5E77D1" w:rsidRPr="00A90AB7" w:rsidRDefault="005E77D1" w:rsidP="005E77D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lastRenderedPageBreak/>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189E0DF8"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44</w:t>
            </w:r>
          </w:p>
        </w:tc>
        <w:tc>
          <w:tcPr>
            <w:tcW w:w="2692" w:type="dxa"/>
            <w:tcBorders>
              <w:top w:val="nil"/>
              <w:left w:val="nil"/>
              <w:bottom w:val="single" w:sz="8" w:space="0" w:color="auto"/>
              <w:right w:val="single" w:sz="8" w:space="0" w:color="auto"/>
            </w:tcBorders>
            <w:shd w:val="clear" w:color="auto" w:fill="auto"/>
          </w:tcPr>
          <w:p w14:paraId="17E0FA6A" w14:textId="028AAA6E"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306,755.64</w:t>
            </w:r>
          </w:p>
        </w:tc>
        <w:tc>
          <w:tcPr>
            <w:tcW w:w="1696" w:type="dxa"/>
            <w:tcBorders>
              <w:top w:val="nil"/>
              <w:left w:val="nil"/>
              <w:bottom w:val="single" w:sz="8" w:space="0" w:color="auto"/>
              <w:right w:val="single" w:sz="8" w:space="0" w:color="auto"/>
            </w:tcBorders>
            <w:shd w:val="clear" w:color="auto" w:fill="auto"/>
          </w:tcPr>
          <w:p w14:paraId="2CF369C9" w14:textId="1CB8EE71"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3.50%</w:t>
            </w:r>
          </w:p>
        </w:tc>
      </w:tr>
      <w:tr w:rsidR="005E77D1" w:rsidRPr="00A90AB7" w14:paraId="33F2F3B6"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5E77D1" w:rsidRPr="00A90AB7" w:rsidRDefault="005E77D1" w:rsidP="005E77D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7DA02C88"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26</w:t>
            </w:r>
          </w:p>
        </w:tc>
        <w:tc>
          <w:tcPr>
            <w:tcW w:w="2692" w:type="dxa"/>
            <w:tcBorders>
              <w:top w:val="nil"/>
              <w:left w:val="nil"/>
              <w:bottom w:val="single" w:sz="8" w:space="0" w:color="auto"/>
              <w:right w:val="single" w:sz="8" w:space="0" w:color="auto"/>
            </w:tcBorders>
            <w:shd w:val="clear" w:color="auto" w:fill="auto"/>
          </w:tcPr>
          <w:p w14:paraId="7E76C849" w14:textId="04D95931"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472,367.74</w:t>
            </w:r>
          </w:p>
        </w:tc>
        <w:tc>
          <w:tcPr>
            <w:tcW w:w="1696" w:type="dxa"/>
            <w:tcBorders>
              <w:top w:val="nil"/>
              <w:left w:val="nil"/>
              <w:bottom w:val="single" w:sz="8" w:space="0" w:color="auto"/>
              <w:right w:val="single" w:sz="8" w:space="0" w:color="auto"/>
            </w:tcBorders>
            <w:shd w:val="clear" w:color="auto" w:fill="auto"/>
          </w:tcPr>
          <w:p w14:paraId="2DEE8F0F" w14:textId="213F62FA"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5.40%</w:t>
            </w:r>
          </w:p>
        </w:tc>
      </w:tr>
      <w:tr w:rsidR="005E77D1" w:rsidRPr="00A90AB7" w14:paraId="53AAF433"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5E77D1" w:rsidRPr="00A90AB7" w:rsidRDefault="005E77D1" w:rsidP="005E77D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17C4D0D0"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1ABD868A" w14:textId="748B73AE"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349,379.96</w:t>
            </w:r>
          </w:p>
        </w:tc>
        <w:tc>
          <w:tcPr>
            <w:tcW w:w="1696" w:type="dxa"/>
            <w:tcBorders>
              <w:top w:val="nil"/>
              <w:left w:val="nil"/>
              <w:bottom w:val="single" w:sz="8" w:space="0" w:color="auto"/>
              <w:right w:val="single" w:sz="8" w:space="0" w:color="auto"/>
            </w:tcBorders>
            <w:shd w:val="clear" w:color="auto" w:fill="auto"/>
          </w:tcPr>
          <w:p w14:paraId="73DF2C14" w14:textId="24E1DC4A"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3.99%</w:t>
            </w:r>
          </w:p>
        </w:tc>
      </w:tr>
      <w:tr w:rsidR="005E77D1" w:rsidRPr="00A90AB7" w14:paraId="656817C8"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5E77D1" w:rsidRPr="00A90AB7" w:rsidRDefault="005E77D1" w:rsidP="005E77D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07CCC2F3"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555FA35E"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7,000,000.00</w:t>
            </w:r>
          </w:p>
        </w:tc>
        <w:tc>
          <w:tcPr>
            <w:tcW w:w="1696" w:type="dxa"/>
            <w:tcBorders>
              <w:top w:val="nil"/>
              <w:left w:val="nil"/>
              <w:bottom w:val="single" w:sz="8" w:space="0" w:color="auto"/>
              <w:right w:val="single" w:sz="8" w:space="0" w:color="auto"/>
            </w:tcBorders>
            <w:shd w:val="clear" w:color="auto" w:fill="auto"/>
          </w:tcPr>
          <w:p w14:paraId="28BFE95B" w14:textId="510B24BD" w:rsidR="005E77D1" w:rsidRPr="005E77D1" w:rsidRDefault="005E77D1" w:rsidP="005E77D1">
            <w:pPr>
              <w:spacing w:after="0" w:line="240" w:lineRule="auto"/>
              <w:jc w:val="center"/>
              <w:rPr>
                <w:rFonts w:ascii="Times New Roman" w:eastAsia="Times New Roman" w:hAnsi="Times New Roman"/>
                <w:iCs/>
                <w:sz w:val="24"/>
                <w:szCs w:val="24"/>
              </w:rPr>
            </w:pPr>
            <w:r w:rsidRPr="005E77D1">
              <w:rPr>
                <w:rFonts w:ascii="Times New Roman" w:hAnsi="Times New Roman"/>
                <w:sz w:val="24"/>
                <w:szCs w:val="24"/>
              </w:rPr>
              <w:t>79.95%</w:t>
            </w:r>
          </w:p>
        </w:tc>
      </w:tr>
      <w:tr w:rsidR="005E77D1" w:rsidRPr="00A90AB7" w14:paraId="7A11D66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5E77D1" w:rsidRPr="00A90AB7" w:rsidRDefault="005E77D1" w:rsidP="005E77D1">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4EE189CC" w:rsidR="005E77D1" w:rsidRPr="005E77D1" w:rsidRDefault="005E77D1" w:rsidP="005E77D1">
            <w:pPr>
              <w:spacing w:after="0" w:line="240" w:lineRule="auto"/>
              <w:jc w:val="center"/>
              <w:rPr>
                <w:rFonts w:ascii="Times New Roman" w:eastAsia="Times New Roman" w:hAnsi="Times New Roman"/>
                <w:b/>
                <w:bCs/>
                <w:iCs/>
                <w:sz w:val="24"/>
                <w:szCs w:val="24"/>
              </w:rPr>
            </w:pPr>
            <w:r w:rsidRPr="005E77D1">
              <w:rPr>
                <w:rFonts w:ascii="Times New Roman" w:hAnsi="Times New Roman"/>
                <w:b/>
                <w:bCs/>
                <w:sz w:val="24"/>
                <w:szCs w:val="24"/>
              </w:rPr>
              <w:t>782</w:t>
            </w:r>
          </w:p>
        </w:tc>
        <w:tc>
          <w:tcPr>
            <w:tcW w:w="2692" w:type="dxa"/>
            <w:tcBorders>
              <w:top w:val="nil"/>
              <w:left w:val="nil"/>
              <w:bottom w:val="single" w:sz="8" w:space="0" w:color="auto"/>
              <w:right w:val="single" w:sz="8" w:space="0" w:color="auto"/>
            </w:tcBorders>
            <w:shd w:val="clear" w:color="auto" w:fill="auto"/>
          </w:tcPr>
          <w:p w14:paraId="270549B9" w14:textId="1665B12E" w:rsidR="005E77D1" w:rsidRPr="005E77D1" w:rsidRDefault="005E77D1" w:rsidP="005E77D1">
            <w:pPr>
              <w:spacing w:after="0" w:line="240" w:lineRule="auto"/>
              <w:jc w:val="center"/>
              <w:rPr>
                <w:rFonts w:ascii="Times New Roman" w:eastAsia="Times New Roman" w:hAnsi="Times New Roman"/>
                <w:b/>
                <w:bCs/>
                <w:iCs/>
                <w:sz w:val="24"/>
                <w:szCs w:val="24"/>
              </w:rPr>
            </w:pPr>
            <w:r w:rsidRPr="005E77D1">
              <w:rPr>
                <w:rFonts w:ascii="Times New Roman" w:hAnsi="Times New Roman"/>
                <w:b/>
                <w:bCs/>
                <w:sz w:val="24"/>
                <w:szCs w:val="24"/>
              </w:rPr>
              <w:t xml:space="preserve"> 8,754,989.87 </w:t>
            </w:r>
          </w:p>
        </w:tc>
        <w:tc>
          <w:tcPr>
            <w:tcW w:w="1696" w:type="dxa"/>
            <w:tcBorders>
              <w:top w:val="nil"/>
              <w:left w:val="nil"/>
              <w:bottom w:val="single" w:sz="8" w:space="0" w:color="auto"/>
              <w:right w:val="single" w:sz="8" w:space="0" w:color="auto"/>
            </w:tcBorders>
            <w:shd w:val="clear" w:color="auto" w:fill="auto"/>
          </w:tcPr>
          <w:p w14:paraId="10E9F2BC" w14:textId="1699E252" w:rsidR="005E77D1" w:rsidRPr="005E77D1" w:rsidRDefault="005E77D1" w:rsidP="005E77D1">
            <w:pPr>
              <w:spacing w:after="0" w:line="240" w:lineRule="auto"/>
              <w:jc w:val="center"/>
              <w:rPr>
                <w:rFonts w:ascii="Times New Roman" w:eastAsia="Times New Roman" w:hAnsi="Times New Roman"/>
                <w:b/>
                <w:bCs/>
                <w:iCs/>
                <w:sz w:val="24"/>
                <w:szCs w:val="24"/>
              </w:rPr>
            </w:pPr>
            <w:r w:rsidRPr="005E77D1">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ED727E">
        <w:rPr>
          <w:rFonts w:ascii="Times New Roman" w:hAnsi="Times New Roman"/>
          <w:b/>
          <w:sz w:val="24"/>
          <w:szCs w:val="24"/>
          <w:lang w:val="nl-NL"/>
        </w:rPr>
        <w:t>V. Thông tin về triển vọng thị trường</w:t>
      </w:r>
    </w:p>
    <w:p w14:paraId="4FBC42D6" w14:textId="77777777" w:rsidR="00CC0FF9" w:rsidRPr="00A90AB7"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Biểu đồ bên dưới thể hiện diễn biến chỉ số VN-index (dây màu xanh</w:t>
      </w:r>
      <w:r>
        <w:rPr>
          <w:rFonts w:ascii="Times New Roman" w:hAnsi="Times New Roman"/>
          <w:sz w:val="24"/>
          <w:szCs w:val="24"/>
          <w:lang w:val="nl-NL"/>
        </w:rPr>
        <w:t>, chiếu qua trục bên phải</w:t>
      </w:r>
      <w:r w:rsidRPr="00A90AB7">
        <w:rPr>
          <w:rFonts w:ascii="Times New Roman" w:hAnsi="Times New Roman"/>
          <w:sz w:val="24"/>
          <w:szCs w:val="24"/>
          <w:lang w:val="nl-NL"/>
        </w:rPr>
        <w:t>) và giá trị giao dịch (cột màu đỏ</w:t>
      </w:r>
      <w:r>
        <w:rPr>
          <w:rFonts w:ascii="Times New Roman" w:hAnsi="Times New Roman"/>
          <w:sz w:val="24"/>
          <w:szCs w:val="24"/>
          <w:lang w:val="nl-NL"/>
        </w:rPr>
        <w:t>, chiếu qua trục bên trái, đơn vị: tỷ đồng/ ngày</w:t>
      </w:r>
      <w:r w:rsidRPr="00A90AB7">
        <w:rPr>
          <w:rFonts w:ascii="Times New Roman" w:hAnsi="Times New Roman"/>
          <w:sz w:val="24"/>
          <w:szCs w:val="24"/>
          <w:lang w:val="nl-NL"/>
        </w:rPr>
        <w:t>)</w:t>
      </w:r>
    </w:p>
    <w:p w14:paraId="045CF6AB" w14:textId="77777777" w:rsidR="00CC0FF9" w:rsidRPr="00315A8E" w:rsidRDefault="00CC0FF9" w:rsidP="00CC0FF9">
      <w:pPr>
        <w:shd w:val="clear" w:color="auto" w:fill="FFFFFF"/>
        <w:tabs>
          <w:tab w:val="left" w:pos="540"/>
        </w:tabs>
        <w:spacing w:before="120" w:after="0" w:line="240" w:lineRule="auto"/>
        <w:jc w:val="both"/>
        <w:rPr>
          <w:rFonts w:ascii="Times New Roman" w:hAnsi="Times New Roman"/>
          <w:b/>
          <w:color w:val="0000CC"/>
          <w:sz w:val="24"/>
          <w:szCs w:val="24"/>
          <w:lang w:val="nl-NL"/>
        </w:rPr>
      </w:pPr>
      <w:r w:rsidRPr="00FC6177">
        <w:rPr>
          <w:noProof/>
        </w:rPr>
        <w:drawing>
          <wp:inline distT="0" distB="0" distL="0" distR="0" wp14:anchorId="6881B755" wp14:editId="536335D5">
            <wp:extent cx="5943600" cy="3714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4115"/>
                    </a:xfrm>
                    <a:prstGeom prst="rect">
                      <a:avLst/>
                    </a:prstGeom>
                    <a:noFill/>
                    <a:ln>
                      <a:noFill/>
                    </a:ln>
                  </pic:spPr>
                </pic:pic>
              </a:graphicData>
            </a:graphic>
          </wp:inline>
        </w:drawing>
      </w:r>
    </w:p>
    <w:p w14:paraId="7D6FB950" w14:textId="77777777" w:rsidR="00CC0FF9" w:rsidRPr="00AC0CD0"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ab/>
      </w:r>
      <w:r w:rsidRPr="00F14111">
        <w:rPr>
          <w:rFonts w:ascii="Times New Roman" w:hAnsi="Times New Roman"/>
          <w:sz w:val="24"/>
          <w:szCs w:val="24"/>
          <w:lang w:val="nl-NL"/>
        </w:rPr>
        <w:t xml:space="preserve">Dữ liệu thị trường chứng khoán cho thấy trong </w:t>
      </w:r>
      <w:r w:rsidRPr="00BF217F">
        <w:rPr>
          <w:rFonts w:ascii="Times New Roman" w:hAnsi="Times New Roman"/>
          <w:sz w:val="24"/>
          <w:szCs w:val="24"/>
          <w:lang w:val="nl-NL"/>
        </w:rPr>
        <w:t>Quý 2</w:t>
      </w:r>
      <w:r>
        <w:rPr>
          <w:rFonts w:ascii="Times New Roman" w:hAnsi="Times New Roman"/>
          <w:sz w:val="24"/>
          <w:szCs w:val="24"/>
          <w:lang w:val="nl-NL"/>
        </w:rPr>
        <w:t xml:space="preserve"> năm </w:t>
      </w:r>
      <w:r w:rsidRPr="00F14111">
        <w:rPr>
          <w:rFonts w:ascii="Times New Roman" w:hAnsi="Times New Roman"/>
          <w:sz w:val="24"/>
          <w:szCs w:val="24"/>
          <w:lang w:val="nl-NL"/>
        </w:rPr>
        <w:t>202</w:t>
      </w:r>
      <w:r>
        <w:rPr>
          <w:rFonts w:ascii="Times New Roman" w:hAnsi="Times New Roman"/>
          <w:sz w:val="24"/>
          <w:szCs w:val="24"/>
          <w:lang w:val="nl-NL"/>
        </w:rPr>
        <w:t xml:space="preserve">1 thị trường chứng khoán </w:t>
      </w:r>
      <w:r w:rsidRPr="00F14111">
        <w:rPr>
          <w:rFonts w:ascii="Times New Roman" w:hAnsi="Times New Roman"/>
          <w:sz w:val="24"/>
          <w:szCs w:val="24"/>
          <w:lang w:val="nl-NL"/>
        </w:rPr>
        <w:t xml:space="preserve">đã </w:t>
      </w:r>
      <w:r>
        <w:rPr>
          <w:rFonts w:ascii="Times New Roman" w:hAnsi="Times New Roman"/>
          <w:sz w:val="24"/>
          <w:szCs w:val="24"/>
          <w:lang w:val="nl-NL"/>
        </w:rPr>
        <w:t xml:space="preserve">tiếp đà tăng trưởng </w:t>
      </w:r>
      <w:r w:rsidRPr="00BF217F">
        <w:rPr>
          <w:rFonts w:ascii="Times New Roman" w:hAnsi="Times New Roman"/>
          <w:sz w:val="24"/>
          <w:szCs w:val="24"/>
          <w:lang w:val="nl-NL"/>
        </w:rPr>
        <w:t xml:space="preserve">mạnh mẽ của Quý 1 và chinh phục đỉnh mới, tính gộp 6 tháng đầu năm 2021 chỉ số VN-index </w:t>
      </w:r>
      <w:r>
        <w:rPr>
          <w:rFonts w:ascii="Times New Roman" w:hAnsi="Times New Roman"/>
          <w:sz w:val="24"/>
          <w:szCs w:val="24"/>
          <w:lang w:val="nl-NL"/>
        </w:rPr>
        <w:t xml:space="preserve">tăng </w:t>
      </w:r>
      <w:r w:rsidRPr="00F14111">
        <w:rPr>
          <w:rFonts w:ascii="Times New Roman" w:hAnsi="Times New Roman"/>
          <w:sz w:val="24"/>
          <w:szCs w:val="24"/>
          <w:lang w:val="nl-NL"/>
        </w:rPr>
        <w:t xml:space="preserve">mạnh </w:t>
      </w:r>
      <w:r>
        <w:rPr>
          <w:rFonts w:ascii="Times New Roman" w:hAnsi="Times New Roman"/>
          <w:sz w:val="24"/>
          <w:szCs w:val="24"/>
          <w:lang w:val="nl-NL"/>
        </w:rPr>
        <w:t>27.6</w:t>
      </w:r>
      <w:r w:rsidRPr="00F14111">
        <w:rPr>
          <w:rFonts w:ascii="Times New Roman" w:hAnsi="Times New Roman"/>
          <w:sz w:val="24"/>
          <w:szCs w:val="24"/>
          <w:lang w:val="nl-NL"/>
        </w:rPr>
        <w:t>%</w:t>
      </w:r>
      <w:r>
        <w:rPr>
          <w:rFonts w:ascii="Times New Roman" w:hAnsi="Times New Roman"/>
          <w:sz w:val="24"/>
          <w:szCs w:val="24"/>
          <w:lang w:val="nl-NL"/>
        </w:rPr>
        <w:t xml:space="preserve"> so với cuối năm 2020, đóng cửa VN Index ngày 30/06/2021 tại mức trên 1.408 điểm và là thị trường tăng mạnh thứ 2 trên thế giới. Thanh khoản của thị trường chứng khoán đã tăng trưởng vượt bậc, đứng thứ hai trong khu vực Đông Nam Á chỉ sau Thái Lan. Đồng thời điểm tích cực của thị trường chứng khoán Việt Nam trong thời gian qua là đã thu hút được dòng vốn đầu tư trong nước, do đó mặc dù nhà đầu tư nước ngoài liên tục bán ròng nhưng thị trường vẫn tăng trưởng ấn tượng</w:t>
      </w:r>
      <w:r w:rsidRPr="00F14111">
        <w:rPr>
          <w:rFonts w:ascii="Times New Roman" w:hAnsi="Times New Roman"/>
          <w:sz w:val="24"/>
          <w:szCs w:val="24"/>
          <w:lang w:val="nl-NL"/>
        </w:rPr>
        <w:t>.</w:t>
      </w:r>
      <w:r>
        <w:rPr>
          <w:rFonts w:ascii="Times New Roman" w:hAnsi="Times New Roman"/>
          <w:sz w:val="24"/>
          <w:szCs w:val="24"/>
          <w:lang w:val="nl-NL"/>
        </w:rPr>
        <w:t xml:space="preserve"> Đối với dòng vốn ngoại, vẫn có những quỹ đầu tư tham gia vào thị trường Việt Nam thông qua các quỹ ETF, đặc biệt là các nhà đầu tư mới, đến từ Đài Loan.</w:t>
      </w:r>
      <w:r w:rsidRPr="00F14111">
        <w:rPr>
          <w:rFonts w:ascii="Times New Roman" w:hAnsi="Times New Roman"/>
          <w:sz w:val="24"/>
          <w:szCs w:val="24"/>
          <w:lang w:val="nl-NL"/>
        </w:rPr>
        <w:t xml:space="preserve"> </w:t>
      </w:r>
      <w:r>
        <w:rPr>
          <w:rFonts w:ascii="Times New Roman" w:hAnsi="Times New Roman"/>
          <w:sz w:val="24"/>
          <w:szCs w:val="24"/>
          <w:lang w:val="nl-NL"/>
        </w:rPr>
        <w:t xml:space="preserve">Tuy nhiên trong 6 tháng đầu năm 2021 Sở giao dịch chứng khoán Tp. Hồ Chí Minh (HOSE) đã gặp phải sự cố kỹ </w:t>
      </w:r>
      <w:r w:rsidRPr="00AC0CD0">
        <w:rPr>
          <w:rFonts w:ascii="Times New Roman" w:hAnsi="Times New Roman"/>
          <w:sz w:val="24"/>
          <w:szCs w:val="24"/>
          <w:lang w:val="nl-NL"/>
        </w:rPr>
        <w:t xml:space="preserve">thuật về giao dịch nên ít nhiều có ảnh hưởng đến thanh khoản của thị trường và </w:t>
      </w:r>
      <w:r w:rsidRPr="00AC0CD0">
        <w:rPr>
          <w:rFonts w:ascii="Times New Roman" w:hAnsi="Times New Roman"/>
          <w:sz w:val="24"/>
          <w:szCs w:val="24"/>
          <w:lang w:val="nl-NL"/>
        </w:rPr>
        <w:lastRenderedPageBreak/>
        <w:t xml:space="preserve">tâm lý của nhà đầu tư, tuy nhiên dự kiến hệ thống giao dịch mới sẽ áp dụng từ đầu tháng 7/2021 sẽ khắc phục vấn đề này. 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qua đi, hệ thống giao dịch HOSE được khắc phục, hoạt động của doanh nghiệp hồi phục và tăng trưởng trở lại, nhiều giải pháp được Chính Phủ nhiệm kỳ mới thực thi, niềm tin của nhà đầu tư trở lại thì thị trường chứng khoán sẽ tiếp tục phục hồi và tăng trưởng trong dài hạn. </w:t>
      </w:r>
    </w:p>
    <w:p w14:paraId="42251EEF" w14:textId="77777777" w:rsidR="00CC0FF9" w:rsidRPr="00F14111" w:rsidRDefault="00CC0FF9" w:rsidP="00CC0FF9">
      <w:pPr>
        <w:shd w:val="clear" w:color="auto" w:fill="FFFFFF"/>
        <w:tabs>
          <w:tab w:val="left" w:pos="540"/>
        </w:tabs>
        <w:spacing w:before="120" w:after="0" w:line="240" w:lineRule="auto"/>
        <w:jc w:val="both"/>
        <w:rPr>
          <w:rFonts w:ascii="Times New Roman" w:hAnsi="Times New Roman"/>
          <w:sz w:val="24"/>
          <w:szCs w:val="24"/>
          <w:lang w:val="nl-NL"/>
        </w:rPr>
      </w:pPr>
      <w:r w:rsidRPr="00AC0CD0">
        <w:rPr>
          <w:rFonts w:ascii="Times New Roman" w:hAnsi="Times New Roman"/>
          <w:sz w:val="24"/>
          <w:szCs w:val="24"/>
          <w:lang w:val="nl-NL"/>
        </w:rPr>
        <w:tab/>
        <w:t>Theo đánh giá của nhiều chuyên gia kinh tế và đầu</w:t>
      </w:r>
      <w:r w:rsidRPr="00F14111">
        <w:rPr>
          <w:rFonts w:ascii="Times New Roman" w:hAnsi="Times New Roman"/>
          <w:sz w:val="24"/>
          <w:szCs w:val="24"/>
          <w:lang w:val="nl-NL"/>
        </w:rPr>
        <w:t xml:space="preserve"> tư cả trong và ngoài nước, Thị trường Chứng khoán Việt Nam vẫn là một kênh đầu tư hấp dẫn cho các Nhà đầu tư nước ngoài và trở thành một nguồn cung cấp tài chính thực sự cho nền kinh tế. Một số điểm cốt lõi giúp củng cố xu hướng </w:t>
      </w:r>
      <w:r>
        <w:rPr>
          <w:rFonts w:ascii="Times New Roman" w:hAnsi="Times New Roman"/>
          <w:sz w:val="24"/>
          <w:szCs w:val="24"/>
          <w:lang w:val="nl-NL"/>
        </w:rPr>
        <w:t>tăng trưởng</w:t>
      </w:r>
      <w:r w:rsidRPr="00F14111">
        <w:rPr>
          <w:rFonts w:ascii="Times New Roman" w:hAnsi="Times New Roman"/>
          <w:sz w:val="24"/>
          <w:szCs w:val="24"/>
          <w:lang w:val="nl-NL"/>
        </w:rPr>
        <w:t xml:space="preserve"> trong dài hạn cho Thị trường Chứng khoán Việt Nam như sau:</w:t>
      </w:r>
    </w:p>
    <w:p w14:paraId="25208DD1" w14:textId="77777777" w:rsidR="00CC0FF9" w:rsidRPr="00BF217F" w:rsidRDefault="00CC0FF9" w:rsidP="00BF217F">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Với môi trường kinh tế vĩ mô: Việt Nam được đánh giá phát triển ổn định thể hiện qua các tiêu chí như tăng trưởng GDP, tín dụng, lãi suất, lạm phát, tỷ giá, tình hình thu hút FDI,... như đã phân tích ở trên. Như vậy, nền kinh tế Việt Nam đang tiếp tục bước vào giai đoạn phát triển với một chu kỳ phát triển kinh tế mới.</w:t>
      </w:r>
    </w:p>
    <w:p w14:paraId="6CED6057" w14:textId="77777777" w:rsidR="00CC0FF9" w:rsidRPr="00F14111" w:rsidRDefault="00CC0FF9" w:rsidP="00BF217F">
      <w:pPr>
        <w:pStyle w:val="ListParagraph"/>
        <w:widowControl w:val="0"/>
        <w:numPr>
          <w:ilvl w:val="0"/>
          <w:numId w:val="9"/>
        </w:numPr>
        <w:spacing w:before="100" w:after="120" w:line="240" w:lineRule="auto"/>
        <w:ind w:left="432" w:hanging="432"/>
        <w:contextualSpacing w:val="0"/>
        <w:jc w:val="both"/>
        <w:rPr>
          <w:rFonts w:ascii="Times New Roman" w:hAnsi="Times New Roman"/>
          <w:sz w:val="24"/>
          <w:szCs w:val="24"/>
          <w:lang w:val="nl-NL"/>
        </w:rPr>
      </w:pPr>
      <w:r w:rsidRPr="00F14111">
        <w:rPr>
          <w:rFonts w:ascii="Times New Roman" w:hAnsi="Times New Roman"/>
          <w:sz w:val="24"/>
          <w:szCs w:val="24"/>
          <w:lang w:val="nl-NL"/>
        </w:rPr>
        <w:t>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trong những năm 2017-2019.</w:t>
      </w:r>
    </w:p>
    <w:p w14:paraId="6995EC81" w14:textId="77777777" w:rsidR="00CC0FF9" w:rsidRPr="00F14111" w:rsidRDefault="00CC0FF9" w:rsidP="00BF217F">
      <w:pPr>
        <w:widowControl w:val="0"/>
        <w:spacing w:before="100" w:after="120" w:line="240" w:lineRule="auto"/>
        <w:ind w:firstLine="432"/>
        <w:jc w:val="both"/>
        <w:rPr>
          <w:rFonts w:ascii="Times New Roman" w:hAnsi="Times New Roman"/>
          <w:sz w:val="24"/>
          <w:szCs w:val="24"/>
          <w:lang w:val="nl-NL"/>
        </w:rPr>
      </w:pPr>
      <w:r w:rsidRPr="00F14111">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w:t>
      </w:r>
      <w:r w:rsidRPr="00F14111">
        <w:rPr>
          <w:rFonts w:ascii="Times New Roman" w:hAnsi="Times New Roman"/>
          <w:sz w:val="24"/>
          <w:szCs w:val="24"/>
          <w:lang w:val="nl-NL"/>
        </w:rPr>
        <w:t xml:space="preserve"> Đẩy mạnh giải ngân đầu tư công từ giai đoạn năm 202</w:t>
      </w:r>
      <w:r>
        <w:rPr>
          <w:rFonts w:ascii="Times New Roman" w:hAnsi="Times New Roman"/>
          <w:sz w:val="24"/>
          <w:szCs w:val="24"/>
          <w:lang w:val="nl-NL"/>
        </w:rPr>
        <w:t>1</w:t>
      </w:r>
      <w:r w:rsidRPr="00F14111">
        <w:rPr>
          <w:rFonts w:ascii="Times New Roman" w:hAnsi="Times New Roman"/>
          <w:sz w:val="24"/>
          <w:szCs w:val="24"/>
          <w:lang w:val="nl-NL"/>
        </w:rPr>
        <w:t>; (iii) triển vọng nâng hạng Thị trường Việt Nam (FTSE Russel và MSCI Emerging Market); (iv) tích cực đẩy mạnh tham gia các hiệp định thương mại tự do (FTAs); (v) Dòng vốn đầu tư FDI dịch chuyển</w:t>
      </w:r>
      <w:r>
        <w:rPr>
          <w:rFonts w:ascii="Times New Roman" w:hAnsi="Times New Roman"/>
          <w:sz w:val="24"/>
          <w:szCs w:val="24"/>
          <w:lang w:val="nl-NL"/>
        </w:rPr>
        <w:t xml:space="preserve"> theo cơ cấu</w:t>
      </w:r>
      <w:r w:rsidRPr="00F14111">
        <w:rPr>
          <w:rFonts w:ascii="Times New Roman" w:hAnsi="Times New Roman"/>
          <w:sz w:val="24"/>
          <w:szCs w:val="24"/>
          <w:lang w:val="nl-NL"/>
        </w:rPr>
        <w:t xml:space="preserve"> sang Việt nam từ các nước lân cận; (vi) thu hút vốn đầu tư vào thị trường chứng khoán thông qua các sản phẩm như quỹ chỉ số, hợp đồng tương lai, quyền chọn và Luật chứng khoán mới hiệu lực từ tháng 01 năm 2021. Bên cạnh đó, những rủi ro về tình hình dịch Covid-19 có ảnh hưởng sâu rộng đến</w:t>
      </w:r>
      <w:r>
        <w:rPr>
          <w:rFonts w:ascii="Times New Roman" w:hAnsi="Times New Roman"/>
          <w:sz w:val="24"/>
          <w:szCs w:val="24"/>
          <w:lang w:val="nl-NL"/>
        </w:rPr>
        <w:t xml:space="preserve"> tình hình</w:t>
      </w:r>
      <w:r w:rsidRPr="00F14111">
        <w:rPr>
          <w:rFonts w:ascii="Times New Roman" w:hAnsi="Times New Roman"/>
          <w:sz w:val="24"/>
          <w:szCs w:val="24"/>
          <w:lang w:val="nl-NL"/>
        </w:rPr>
        <w:t xml:space="preserve"> kinh tế trên toàn thế giới, và còn đó những rủi ro tiềm ẩn cần lưu ý bao gồm </w:t>
      </w:r>
      <w:r>
        <w:rPr>
          <w:rFonts w:ascii="Times New Roman" w:hAnsi="Times New Roman"/>
          <w:sz w:val="24"/>
          <w:szCs w:val="24"/>
          <w:lang w:val="nl-NL"/>
        </w:rPr>
        <w:t>lạm phát và bong bóng tài sản có dấu hiệu được thổi phồng khắp nơi trên thế giới do các chính sách ồ ạt nới lỏng tiền tệ để kích thích kinh tế phục hồi tăng trưởng hậu Covid-19</w:t>
      </w:r>
      <w:r w:rsidRPr="00F14111">
        <w:rPr>
          <w:rFonts w:ascii="Times New Roman" w:hAnsi="Times New Roman"/>
          <w:sz w:val="24"/>
          <w:szCs w:val="24"/>
          <w:lang w:val="nl-NL"/>
        </w:rPr>
        <w:t xml:space="preserve">, </w:t>
      </w:r>
      <w:r>
        <w:rPr>
          <w:rFonts w:ascii="Times New Roman" w:hAnsi="Times New Roman"/>
          <w:sz w:val="24"/>
          <w:szCs w:val="24"/>
          <w:lang w:val="nl-NL"/>
        </w:rPr>
        <w:t xml:space="preserve">ẩn số nợ xấu trong hệ thống ngân hàng sau dich bệnh, </w:t>
      </w:r>
      <w:r w:rsidRPr="00F14111">
        <w:rPr>
          <w:rFonts w:ascii="Times New Roman" w:hAnsi="Times New Roman"/>
          <w:sz w:val="24"/>
          <w:szCs w:val="24"/>
          <w:lang w:val="nl-NL"/>
        </w:rPr>
        <w:t xml:space="preserve">tình hình </w:t>
      </w:r>
      <w:r>
        <w:rPr>
          <w:rFonts w:ascii="Times New Roman" w:hAnsi="Times New Roman"/>
          <w:sz w:val="24"/>
          <w:szCs w:val="24"/>
          <w:lang w:val="nl-NL"/>
        </w:rPr>
        <w:t xml:space="preserve">vỡ nợ trái phiếu của </w:t>
      </w:r>
      <w:r w:rsidRPr="00F14111">
        <w:rPr>
          <w:rFonts w:ascii="Times New Roman" w:hAnsi="Times New Roman"/>
          <w:sz w:val="24"/>
          <w:szCs w:val="24"/>
          <w:lang w:val="nl-NL"/>
        </w:rPr>
        <w:t xml:space="preserve">Trung Quốc </w:t>
      </w:r>
      <w:r>
        <w:rPr>
          <w:rFonts w:ascii="Times New Roman" w:hAnsi="Times New Roman"/>
          <w:sz w:val="24"/>
          <w:szCs w:val="24"/>
          <w:lang w:val="nl-NL"/>
        </w:rPr>
        <w:t>tăng mạnh trong các tháng đầu năm 2021</w:t>
      </w:r>
      <w:r w:rsidRPr="00F14111">
        <w:rPr>
          <w:rFonts w:ascii="Times New Roman" w:hAnsi="Times New Roman"/>
          <w:sz w:val="24"/>
          <w:szCs w:val="24"/>
          <w:lang w:val="nl-NL"/>
        </w:rPr>
        <w:t xml:space="preserve">, bất ổn </w:t>
      </w:r>
      <w:r>
        <w:rPr>
          <w:rFonts w:ascii="Times New Roman" w:hAnsi="Times New Roman"/>
          <w:sz w:val="24"/>
          <w:szCs w:val="24"/>
          <w:lang w:val="nl-NL"/>
        </w:rPr>
        <w:t xml:space="preserve">trong thương mại quốc tế, bùng nổ giá cả hàng hóa thế giới có thể </w:t>
      </w:r>
      <w:r w:rsidRPr="00F14111">
        <w:rPr>
          <w:rFonts w:ascii="Times New Roman" w:hAnsi="Times New Roman"/>
          <w:sz w:val="24"/>
          <w:szCs w:val="24"/>
          <w:lang w:val="nl-NL"/>
        </w:rPr>
        <w:t xml:space="preserve">gây ra những biến động khó lường của dòng vốn đầu tư gián tiếp nước ngoài vào Thị trường Chứng khoán Việt Nam. </w:t>
      </w:r>
    </w:p>
    <w:p w14:paraId="379EF74B" w14:textId="2015132F" w:rsidR="00CC0FF9" w:rsidRPr="00F14111" w:rsidRDefault="00CC0FF9" w:rsidP="00BF217F">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Như vậy, với các yếu tố cơ bản về giá trị kết hợp với các yếu tố định tính như phân tích ở trên cho thấy Thị trường Chứng khoán Việt Nam trong thời gian tới </w:t>
      </w:r>
      <w:r>
        <w:rPr>
          <w:rFonts w:ascii="Times New Roman" w:hAnsi="Times New Roman"/>
          <w:sz w:val="24"/>
          <w:szCs w:val="24"/>
          <w:lang w:val="nl-NL"/>
        </w:rPr>
        <w:t xml:space="preserve">tiếp tục </w:t>
      </w:r>
      <w:r w:rsidRPr="00F14111">
        <w:rPr>
          <w:rFonts w:ascii="Times New Roman" w:hAnsi="Times New Roman"/>
          <w:sz w:val="24"/>
          <w:szCs w:val="24"/>
          <w:lang w:val="nl-NL"/>
        </w:rPr>
        <w:t xml:space="preserve">có </w:t>
      </w:r>
      <w:r>
        <w:rPr>
          <w:rFonts w:ascii="Times New Roman" w:hAnsi="Times New Roman"/>
          <w:sz w:val="24"/>
          <w:szCs w:val="24"/>
          <w:lang w:val="nl-NL"/>
        </w:rPr>
        <w:t xml:space="preserve">những </w:t>
      </w:r>
      <w:r w:rsidRPr="00F14111">
        <w:rPr>
          <w:rFonts w:ascii="Times New Roman" w:hAnsi="Times New Roman"/>
          <w:sz w:val="24"/>
          <w:szCs w:val="24"/>
          <w:lang w:val="nl-NL"/>
        </w:rPr>
        <w:t>kịch bản sáng sủa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tiếp tục kiềm chế được ảnh hưởng của dịch bệnh và việc triển khai tiêm phòng vacccin Covid-19 diễn ra</w:t>
      </w:r>
      <w:r>
        <w:rPr>
          <w:rFonts w:ascii="Times New Roman" w:hAnsi="Times New Roman"/>
          <w:sz w:val="24"/>
          <w:szCs w:val="24"/>
          <w:lang w:val="nl-NL"/>
        </w:rPr>
        <w:t xml:space="preserve"> thành công</w:t>
      </w:r>
      <w:r w:rsidRPr="00F14111">
        <w:rPr>
          <w:rFonts w:ascii="Times New Roman" w:hAnsi="Times New Roman"/>
          <w:sz w:val="24"/>
          <w:szCs w:val="24"/>
          <w:lang w:val="nl-NL"/>
        </w:rPr>
        <w:t xml:space="preserve"> trong thời gian sớm nhất.</w:t>
      </w:r>
    </w:p>
    <w:p w14:paraId="0026677A" w14:textId="4BC1DC1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67258525" w14:textId="77777777" w:rsidR="00ED727E" w:rsidRDefault="00ED727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626EB">
        <w:rPr>
          <w:rFonts w:ascii="Times New Roman" w:hAnsi="Times New Roman"/>
          <w:b/>
          <w:sz w:val="24"/>
          <w:szCs w:val="24"/>
          <w:lang w:val="nl-NL"/>
        </w:rPr>
        <w:lastRenderedPageBreak/>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E77D1" w:rsidRPr="00A90AB7" w14:paraId="06984D68" w14:textId="77777777" w:rsidTr="0083372E">
        <w:tc>
          <w:tcPr>
            <w:tcW w:w="2970" w:type="dxa"/>
          </w:tcPr>
          <w:p w14:paraId="6D4631A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38EBF61D"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4F4D8895"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2856C39F"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239B7877"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1E692E92"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442C5980"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747261C2"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631D3CA5"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 xml:space="preserve"> (</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73AC78CE"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3AA36222" w14:textId="77777777" w:rsidR="005E77D1" w:rsidRPr="00A90AB7" w:rsidRDefault="005E77D1" w:rsidP="005E77D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8F89063" w14:textId="77777777" w:rsidR="005E77D1" w:rsidRPr="00A90AB7" w:rsidRDefault="005E77D1" w:rsidP="005E77D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62C7FE3B" w14:textId="77777777" w:rsidR="005E77D1" w:rsidRPr="00A90AB7" w:rsidRDefault="005E77D1" w:rsidP="005E77D1">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2D70F63A" w:rsidR="005E77D1" w:rsidRPr="00A90AB7" w:rsidRDefault="005E77D1" w:rsidP="005E77D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5E77D1" w:rsidRPr="00A90AB7" w14:paraId="1AAD9BAC" w14:textId="77777777" w:rsidTr="005E549F">
        <w:tc>
          <w:tcPr>
            <w:tcW w:w="2970" w:type="dxa"/>
          </w:tcPr>
          <w:p w14:paraId="3D75965E"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63165D20"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4684A01E"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8FF8BEB" w14:textId="77777777" w:rsidR="005E77D1" w:rsidRPr="00A90AB7" w:rsidRDefault="005E77D1" w:rsidP="005E77D1">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2EA79B3A" w14:textId="77777777" w:rsidR="005E77D1" w:rsidRPr="00A90AB7" w:rsidRDefault="005E77D1" w:rsidP="005E77D1">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6EFAC647" w14:textId="77777777" w:rsidR="005E77D1" w:rsidRPr="00A90AB7" w:rsidRDefault="005E77D1" w:rsidP="005E77D1">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25957334" w14:textId="77777777" w:rsidR="005E77D1" w:rsidRPr="00A90AB7" w:rsidRDefault="005E77D1" w:rsidP="005E77D1">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71714A75" w14:textId="77777777" w:rsidR="005E77D1" w:rsidRPr="00A90AB7" w:rsidRDefault="005E77D1" w:rsidP="005E77D1">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22427007" w:rsidR="005E77D1" w:rsidRPr="00A90AB7" w:rsidRDefault="005E77D1" w:rsidP="005E77D1">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lastRenderedPageBreak/>
              <w:t>Trước đó, ông đã có thời gian làm việc tại bộ phận phân tích của Ngân hàng Mizuho – Chi nhánh Singapore.</w:t>
            </w:r>
          </w:p>
        </w:tc>
      </w:tr>
      <w:tr w:rsidR="005E77D1" w:rsidRPr="00A90AB7" w14:paraId="6F543997" w14:textId="77777777" w:rsidTr="005E549F">
        <w:tc>
          <w:tcPr>
            <w:tcW w:w="2970" w:type="dxa"/>
          </w:tcPr>
          <w:p w14:paraId="005A13F8"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1ABCCB51"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78D9F60D"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CC13BDE"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7C22AA42"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58EA946B"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r w:rsidRPr="00A90AB7">
              <w:rPr>
                <w:rFonts w:ascii="Times New Roman" w:hAnsi="Times New Roman"/>
                <w:sz w:val="24"/>
                <w:szCs w:val="24"/>
                <w:lang w:val="nl-NL"/>
              </w:rPr>
              <w:t xml:space="preserve">  </w:t>
            </w:r>
          </w:p>
          <w:p w14:paraId="3A4CC32F"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2DE8B4A6" w14:textId="77777777" w:rsidR="005E77D1" w:rsidRPr="00A90AB7" w:rsidRDefault="005E77D1" w:rsidP="005E77D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366FE39"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3133BA35" w14:textId="77777777" w:rsidR="005E77D1" w:rsidRPr="00A90AB7" w:rsidRDefault="005E77D1" w:rsidP="005E77D1">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287B5381" w:rsidR="005E77D1" w:rsidRPr="00A90AB7" w:rsidRDefault="005E77D1" w:rsidP="005E77D1">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5E77D1" w:rsidRPr="00A90AB7" w14:paraId="22B76A1C" w14:textId="77777777" w:rsidTr="005E549F">
        <w:tc>
          <w:tcPr>
            <w:tcW w:w="2970" w:type="dxa"/>
          </w:tcPr>
          <w:p w14:paraId="7C1E6AB6"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35F0B31E" w:rsidR="005E77D1" w:rsidRPr="00A90AB7" w:rsidRDefault="005E77D1" w:rsidP="005E77D1">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1B1D5034"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4E9A8BF8"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19F881F6"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6D9E7E2D"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745B6CF2" w14:textId="77777777" w:rsidR="005E77D1" w:rsidRPr="00A90AB7" w:rsidRDefault="005E77D1" w:rsidP="005E77D1">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726F6FA1" w14:textId="77777777" w:rsidR="005E77D1" w:rsidRPr="00A90AB7" w:rsidRDefault="005E77D1" w:rsidP="005E77D1">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381A6D19"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w:t>
            </w:r>
            <w:r>
              <w:rPr>
                <w:rFonts w:ascii="Times New Roman" w:hAnsi="Times New Roman"/>
                <w:sz w:val="24"/>
                <w:szCs w:val="24"/>
                <w:lang w:val="nl-NL"/>
              </w:rPr>
              <w:t>ba</w:t>
            </w:r>
            <w:r w:rsidRPr="00A90AB7">
              <w:rPr>
                <w:rFonts w:ascii="Times New Roman" w:hAnsi="Times New Roman"/>
                <w:sz w:val="24"/>
                <w:szCs w:val="24"/>
                <w:lang w:val="nl-NL"/>
              </w:rPr>
              <w:t xml:space="preserve"> (1</w:t>
            </w:r>
            <w:r>
              <w:rPr>
                <w:rFonts w:ascii="Times New Roman" w:hAnsi="Times New Roman"/>
                <w:sz w:val="24"/>
                <w:szCs w:val="24"/>
                <w:lang w:val="nl-NL"/>
              </w:rPr>
              <w:t>3</w:t>
            </w:r>
            <w:r w:rsidRPr="00A90AB7">
              <w:rPr>
                <w:rFonts w:ascii="Times New Roman" w:hAnsi="Times New Roman"/>
                <w:sz w:val="24"/>
                <w:szCs w:val="24"/>
                <w:lang w:val="nl-NL"/>
              </w:rPr>
              <w:t xml:space="preserve">) năm kinh nghiệm làm việc trong lĩnh vực tài chính, bảo hiểm và đương nhiệm các vị trí quản lý về pháp lý, tuân thủ và kiểm toán nội bộ. </w:t>
            </w:r>
          </w:p>
          <w:p w14:paraId="354E9503" w14:textId="68D82A6D" w:rsidR="005E77D1" w:rsidRPr="003329D6" w:rsidRDefault="005E77D1" w:rsidP="005E77D1">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tc>
      </w:tr>
    </w:tbl>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E77D1" w:rsidRPr="00A90AB7" w14:paraId="59D5C2CB" w14:textId="77777777" w:rsidTr="0083372E">
        <w:tc>
          <w:tcPr>
            <w:tcW w:w="2970" w:type="dxa"/>
          </w:tcPr>
          <w:p w14:paraId="7AFCE533"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Nguyễn Trường Tài,</w:t>
            </w:r>
          </w:p>
          <w:p w14:paraId="33F3DDEF" w14:textId="52F1C40C"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751EAD5F"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4EDFA4B" w14:textId="77777777" w:rsidR="005E77D1" w:rsidRPr="00A90AB7" w:rsidRDefault="005E77D1" w:rsidP="005E77D1">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Tài chính Doanh nghiệp, Đại học Kinh tế Tp. Hồ Chí Minh;</w:t>
            </w:r>
          </w:p>
          <w:p w14:paraId="28A7CE90" w14:textId="77777777" w:rsidR="005E77D1" w:rsidRPr="00A90AB7" w:rsidRDefault="005E77D1" w:rsidP="005E77D1">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Thạc sỹ Quản trị Chương trình cao học Đại học UQAM (University of Quebec at Montreal, Canada);</w:t>
            </w:r>
          </w:p>
          <w:p w14:paraId="48AC3072" w14:textId="77777777" w:rsidR="005E77D1" w:rsidRPr="00A90AB7" w:rsidRDefault="005E77D1" w:rsidP="005E77D1">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CFO của PACE phối hợp với Học viện Quản trị Tài chính Hoa Kỳ AAFM;</w:t>
            </w:r>
          </w:p>
          <w:p w14:paraId="10CB5FDB" w14:textId="77777777" w:rsidR="005E77D1" w:rsidRPr="00A90AB7" w:rsidRDefault="005E77D1" w:rsidP="005E77D1">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5291140" w14:textId="77777777" w:rsidR="005E77D1" w:rsidRPr="00A90AB7" w:rsidRDefault="005E77D1" w:rsidP="005E77D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7387A308" w:rsidR="005E77D1" w:rsidRPr="00A90AB7" w:rsidRDefault="005E77D1" w:rsidP="005E77D1">
            <w:pPr>
              <w:pStyle w:val="ListParagraph"/>
              <w:tabs>
                <w:tab w:val="left" w:pos="540"/>
              </w:tabs>
              <w:spacing w:before="12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lăm (15) năm làm việc trong lĩnh vực đầu tư, tài chính ngân hàng, trong đó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5E77D1" w:rsidRPr="00A90AB7" w14:paraId="3AD01E93" w14:textId="77777777" w:rsidTr="0083372E">
        <w:tc>
          <w:tcPr>
            <w:tcW w:w="2970" w:type="dxa"/>
          </w:tcPr>
          <w:p w14:paraId="7F56F4B6"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r w:rsidRPr="00A90AB7">
              <w:rPr>
                <w:rFonts w:ascii="Times New Roman" w:hAnsi="Times New Roman"/>
                <w:b/>
                <w:sz w:val="24"/>
                <w:szCs w:val="24"/>
                <w:lang w:val="nl-NL"/>
              </w:rPr>
              <w:t>Trần Thị Anh Trâm,</w:t>
            </w:r>
          </w:p>
          <w:p w14:paraId="7E95BEBC" w14:textId="45F6F76F" w:rsidR="005E77D1" w:rsidRPr="00A90AB7" w:rsidRDefault="005E77D1" w:rsidP="005E77D1">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Trưởng phòng </w:t>
            </w:r>
            <w:r>
              <w:rPr>
                <w:rFonts w:ascii="Times New Roman" w:hAnsi="Times New Roman"/>
                <w:sz w:val="24"/>
                <w:szCs w:val="24"/>
                <w:lang w:val="nl-NL"/>
              </w:rPr>
              <w:t xml:space="preserve">Cao cấp </w:t>
            </w:r>
            <w:r w:rsidRPr="00A90AB7">
              <w:rPr>
                <w:rFonts w:ascii="Times New Roman" w:hAnsi="Times New Roman"/>
                <w:sz w:val="24"/>
                <w:szCs w:val="24"/>
                <w:lang w:val="nl-NL"/>
              </w:rPr>
              <w:t>Nghiệp vụ</w:t>
            </w:r>
          </w:p>
        </w:tc>
        <w:tc>
          <w:tcPr>
            <w:tcW w:w="6390" w:type="dxa"/>
          </w:tcPr>
          <w:p w14:paraId="5F0733DD" w14:textId="77777777" w:rsidR="005E77D1" w:rsidRPr="00A90AB7" w:rsidRDefault="005E77D1" w:rsidP="005E77D1">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325D8678" w14:textId="77777777" w:rsidR="005E77D1" w:rsidRPr="00A90AB7" w:rsidRDefault="005E77D1" w:rsidP="005E77D1">
            <w:pPr>
              <w:pStyle w:val="ListParagraph"/>
              <w:numPr>
                <w:ilvl w:val="0"/>
                <w:numId w:val="7"/>
              </w:numPr>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Cử nhân Luật, Đại học Luật Tp. Hồ Chí Minh;</w:t>
            </w:r>
          </w:p>
          <w:p w14:paraId="48FC739F" w14:textId="77777777" w:rsidR="005E77D1" w:rsidRPr="00A90AB7" w:rsidRDefault="005E77D1" w:rsidP="005E77D1">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Cử nhân chuyên ngành Kế toán/Kiểm toán, Đại học Văn Lang;</w:t>
            </w:r>
          </w:p>
          <w:p w14:paraId="17EC8649" w14:textId="77777777" w:rsidR="005E77D1" w:rsidRPr="00A90AB7" w:rsidRDefault="005E77D1" w:rsidP="005E77D1">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67E86B18" w14:textId="77777777" w:rsidR="005E77D1" w:rsidRPr="00A90AB7" w:rsidRDefault="005E77D1" w:rsidP="005E77D1">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5A6169FC" w:rsidR="005E77D1" w:rsidRPr="00A90AB7" w:rsidRDefault="005E77D1" w:rsidP="005E77D1">
            <w:pPr>
              <w:spacing w:before="60" w:after="60"/>
              <w:jc w:val="both"/>
              <w:rPr>
                <w:rFonts w:ascii="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bốn</w:t>
            </w:r>
            <w:proofErr w:type="spellEnd"/>
            <w:r w:rsidRPr="00A90AB7">
              <w:rPr>
                <w:rFonts w:ascii="Times New Roman" w:hAnsi="Times New Roman"/>
                <w:sz w:val="24"/>
                <w:szCs w:val="24"/>
              </w:rPr>
              <w:t xml:space="preserve"> (</w:t>
            </w:r>
            <w:r>
              <w:rPr>
                <w:rFonts w:ascii="Times New Roman" w:hAnsi="Times New Roman"/>
                <w:sz w:val="24"/>
                <w:szCs w:val="24"/>
              </w:rPr>
              <w:t>14</w:t>
            </w:r>
            <w:r w:rsidRPr="00A90AB7">
              <w:rPr>
                <w:rFonts w:ascii="Times New Roman" w:hAnsi="Times New Roman"/>
                <w:sz w:val="24"/>
                <w:szCs w:val="24"/>
              </w:rPr>
              <w:t xml:space="preserve">)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mười</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Life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Bảo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Nhân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thọ</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Dai-ichi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w:t>
            </w:r>
          </w:p>
        </w:tc>
      </w:tr>
    </w:tbl>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5E77D1" w:rsidRPr="00A90AB7" w14:paraId="73433A03" w14:textId="77777777" w:rsidTr="0083372E">
        <w:tc>
          <w:tcPr>
            <w:tcW w:w="2970" w:type="dxa"/>
          </w:tcPr>
          <w:p w14:paraId="0543EB0E" w14:textId="316C1ED8" w:rsidR="005E77D1" w:rsidRPr="00A90AB7" w:rsidRDefault="005E77D1" w:rsidP="005E77D1">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p>
          <w:p w14:paraId="0FBFF604" w14:textId="0888DAF0" w:rsidR="005E77D1" w:rsidRPr="00A90AB7" w:rsidRDefault="005E77D1" w:rsidP="005E77D1">
            <w:pPr>
              <w:spacing w:before="120" w:after="120"/>
              <w:jc w:val="both"/>
              <w:rPr>
                <w:rFonts w:ascii="Times New Roman" w:hAnsi="Times New Roman"/>
                <w:sz w:val="24"/>
                <w:szCs w:val="24"/>
              </w:rPr>
            </w:pPr>
          </w:p>
        </w:tc>
        <w:tc>
          <w:tcPr>
            <w:tcW w:w="6390" w:type="dxa"/>
          </w:tcPr>
          <w:p w14:paraId="3BABBB5C" w14:textId="77777777"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463F81DA"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Pr>
                <w:rFonts w:ascii="Times New Roman" w:hAnsi="Times New Roman"/>
                <w:sz w:val="24"/>
                <w:szCs w:val="24"/>
              </w:rPr>
              <w:t>từng</w:t>
            </w:r>
            <w:proofErr w:type="spellEnd"/>
            <w:r>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5E77D1" w:rsidRPr="00A90AB7" w14:paraId="288605CE" w14:textId="77777777" w:rsidTr="0083372E">
        <w:tc>
          <w:tcPr>
            <w:tcW w:w="2970" w:type="dxa"/>
          </w:tcPr>
          <w:p w14:paraId="057A446E" w14:textId="1BE80643" w:rsidR="005E77D1" w:rsidRPr="00A90AB7" w:rsidRDefault="005E77D1" w:rsidP="005E77D1">
            <w:pPr>
              <w:spacing w:before="120" w:after="120"/>
              <w:jc w:val="both"/>
              <w:rPr>
                <w:rFonts w:ascii="Times New Roman" w:hAnsi="Times New Roman"/>
                <w:b/>
                <w:sz w:val="24"/>
                <w:szCs w:val="24"/>
              </w:rPr>
            </w:pPr>
            <w:proofErr w:type="spellStart"/>
            <w:r w:rsidRPr="00A90AB7">
              <w:rPr>
                <w:rFonts w:ascii="Times New Roman" w:hAnsi="Times New Roman"/>
                <w:i/>
                <w:sz w:val="24"/>
                <w:szCs w:val="24"/>
              </w:rPr>
              <w:lastRenderedPageBreak/>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p>
          <w:p w14:paraId="54992C26" w14:textId="3B1F593E" w:rsidR="005E77D1" w:rsidRPr="00A90AB7" w:rsidRDefault="005E77D1" w:rsidP="005E77D1">
            <w:pPr>
              <w:spacing w:before="120" w:after="120"/>
              <w:jc w:val="both"/>
              <w:rPr>
                <w:rFonts w:ascii="Times New Roman" w:hAnsi="Times New Roman"/>
                <w:sz w:val="24"/>
                <w:szCs w:val="24"/>
              </w:rPr>
            </w:pPr>
          </w:p>
        </w:tc>
        <w:tc>
          <w:tcPr>
            <w:tcW w:w="6390" w:type="dxa"/>
          </w:tcPr>
          <w:p w14:paraId="12AE5486" w14:textId="77777777"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44ED5EF6" w14:textId="77777777"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6160EBBE"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 </w:t>
            </w:r>
          </w:p>
        </w:tc>
      </w:tr>
      <w:tr w:rsidR="005E77D1" w:rsidRPr="00A90AB7" w14:paraId="1FAC4175" w14:textId="77777777" w:rsidTr="0083372E">
        <w:tc>
          <w:tcPr>
            <w:tcW w:w="2970" w:type="dxa"/>
          </w:tcPr>
          <w:p w14:paraId="5E40B2D6" w14:textId="2F44EEE4" w:rsidR="005E77D1" w:rsidRPr="00A90AB7" w:rsidRDefault="005E77D1" w:rsidP="005E77D1">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p>
          <w:p w14:paraId="7925ECAC" w14:textId="77777777" w:rsidR="005E77D1" w:rsidRPr="00A90AB7" w:rsidRDefault="005E77D1" w:rsidP="005E77D1">
            <w:pPr>
              <w:spacing w:before="120" w:after="120"/>
              <w:jc w:val="both"/>
              <w:rPr>
                <w:rFonts w:ascii="Times New Roman" w:hAnsi="Times New Roman"/>
                <w:sz w:val="24"/>
                <w:szCs w:val="24"/>
              </w:rPr>
            </w:pPr>
          </w:p>
        </w:tc>
        <w:tc>
          <w:tcPr>
            <w:tcW w:w="6390" w:type="dxa"/>
          </w:tcPr>
          <w:p w14:paraId="3866BCF9" w14:textId="77777777"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586C6FB4" w14:textId="77777777"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53061EA9" w:rsidR="005E77D1" w:rsidRPr="00A90AB7" w:rsidRDefault="005E77D1" w:rsidP="005E77D1">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5329A5C0"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5523A8">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7104D6">
        <w:rPr>
          <w:rFonts w:ascii="Times New Roman" w:eastAsia="Times New Roman" w:hAnsi="Times New Roman"/>
          <w:i/>
          <w:sz w:val="24"/>
          <w:szCs w:val="24"/>
          <w:lang w:val="nl-NL"/>
        </w:rPr>
        <w:t>7</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76B455B0" w14:textId="5D8ACD15" w:rsidR="00BF217F"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1"/>
  </w:num>
  <w:num w:numId="5">
    <w:abstractNumId w:val="10"/>
  </w:num>
  <w:num w:numId="6">
    <w:abstractNumId w:val="2"/>
  </w:num>
  <w:num w:numId="7">
    <w:abstractNumId w:val="9"/>
  </w:num>
  <w:num w:numId="8">
    <w:abstractNumId w:val="8"/>
  </w:num>
  <w:num w:numId="9">
    <w:abstractNumId w:val="7"/>
  </w:num>
  <w:num w:numId="10">
    <w:abstractNumId w:val="3"/>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87AE7"/>
    <w:rsid w:val="00091CAB"/>
    <w:rsid w:val="000B431B"/>
    <w:rsid w:val="000C014D"/>
    <w:rsid w:val="000C4474"/>
    <w:rsid w:val="000D074B"/>
    <w:rsid w:val="000D3A01"/>
    <w:rsid w:val="000E3B0B"/>
    <w:rsid w:val="000E5FE9"/>
    <w:rsid w:val="000F2123"/>
    <w:rsid w:val="000F601D"/>
    <w:rsid w:val="00116153"/>
    <w:rsid w:val="00123825"/>
    <w:rsid w:val="00131315"/>
    <w:rsid w:val="00135DEC"/>
    <w:rsid w:val="00137C1F"/>
    <w:rsid w:val="00151BC4"/>
    <w:rsid w:val="00156661"/>
    <w:rsid w:val="001660FB"/>
    <w:rsid w:val="0017714B"/>
    <w:rsid w:val="001966AE"/>
    <w:rsid w:val="001B0B30"/>
    <w:rsid w:val="001B784B"/>
    <w:rsid w:val="001C4B96"/>
    <w:rsid w:val="001D49A9"/>
    <w:rsid w:val="001E40A2"/>
    <w:rsid w:val="001E4811"/>
    <w:rsid w:val="00203124"/>
    <w:rsid w:val="00220EA1"/>
    <w:rsid w:val="002243DA"/>
    <w:rsid w:val="00245818"/>
    <w:rsid w:val="0026620B"/>
    <w:rsid w:val="002841FF"/>
    <w:rsid w:val="002A14C7"/>
    <w:rsid w:val="002D4C06"/>
    <w:rsid w:val="002E1952"/>
    <w:rsid w:val="003011A5"/>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20BBF"/>
    <w:rsid w:val="00450792"/>
    <w:rsid w:val="004532C3"/>
    <w:rsid w:val="00455789"/>
    <w:rsid w:val="004573A2"/>
    <w:rsid w:val="0046119D"/>
    <w:rsid w:val="004647B9"/>
    <w:rsid w:val="00494F7E"/>
    <w:rsid w:val="004C3F63"/>
    <w:rsid w:val="004C7F20"/>
    <w:rsid w:val="004E41BD"/>
    <w:rsid w:val="0052162A"/>
    <w:rsid w:val="00523419"/>
    <w:rsid w:val="0052502D"/>
    <w:rsid w:val="0053737B"/>
    <w:rsid w:val="00551946"/>
    <w:rsid w:val="00551DCB"/>
    <w:rsid w:val="005523A8"/>
    <w:rsid w:val="00572F1B"/>
    <w:rsid w:val="0058767D"/>
    <w:rsid w:val="005A23DB"/>
    <w:rsid w:val="005A265A"/>
    <w:rsid w:val="005A4E9C"/>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F7015"/>
    <w:rsid w:val="00701DBC"/>
    <w:rsid w:val="007104D6"/>
    <w:rsid w:val="00713CC7"/>
    <w:rsid w:val="00747879"/>
    <w:rsid w:val="00753C12"/>
    <w:rsid w:val="00756A76"/>
    <w:rsid w:val="00763691"/>
    <w:rsid w:val="00764C46"/>
    <w:rsid w:val="00792A48"/>
    <w:rsid w:val="007959DC"/>
    <w:rsid w:val="007A2D4E"/>
    <w:rsid w:val="007B289D"/>
    <w:rsid w:val="007C5B05"/>
    <w:rsid w:val="008001E9"/>
    <w:rsid w:val="00804BBD"/>
    <w:rsid w:val="00816829"/>
    <w:rsid w:val="00826BB2"/>
    <w:rsid w:val="00830EAF"/>
    <w:rsid w:val="0083372E"/>
    <w:rsid w:val="00860234"/>
    <w:rsid w:val="00860A96"/>
    <w:rsid w:val="00861AA0"/>
    <w:rsid w:val="008707C6"/>
    <w:rsid w:val="008731A7"/>
    <w:rsid w:val="008939A1"/>
    <w:rsid w:val="008971AB"/>
    <w:rsid w:val="00897BB3"/>
    <w:rsid w:val="008D629B"/>
    <w:rsid w:val="008E75CF"/>
    <w:rsid w:val="008F2B2D"/>
    <w:rsid w:val="008F3818"/>
    <w:rsid w:val="00912E19"/>
    <w:rsid w:val="0093157F"/>
    <w:rsid w:val="0093357C"/>
    <w:rsid w:val="00935B7F"/>
    <w:rsid w:val="0096793F"/>
    <w:rsid w:val="00981F7A"/>
    <w:rsid w:val="00982758"/>
    <w:rsid w:val="00985B28"/>
    <w:rsid w:val="009C5637"/>
    <w:rsid w:val="009D5686"/>
    <w:rsid w:val="009D7171"/>
    <w:rsid w:val="009F4856"/>
    <w:rsid w:val="00A04A2C"/>
    <w:rsid w:val="00A27B9B"/>
    <w:rsid w:val="00A354B3"/>
    <w:rsid w:val="00A377D1"/>
    <w:rsid w:val="00A42F64"/>
    <w:rsid w:val="00A474F7"/>
    <w:rsid w:val="00A85A99"/>
    <w:rsid w:val="00A85E80"/>
    <w:rsid w:val="00A90AB7"/>
    <w:rsid w:val="00A9573B"/>
    <w:rsid w:val="00AA40C7"/>
    <w:rsid w:val="00AB46A2"/>
    <w:rsid w:val="00AB604A"/>
    <w:rsid w:val="00AC398E"/>
    <w:rsid w:val="00AD411A"/>
    <w:rsid w:val="00AE3720"/>
    <w:rsid w:val="00AF7018"/>
    <w:rsid w:val="00B00350"/>
    <w:rsid w:val="00B0433F"/>
    <w:rsid w:val="00B10F95"/>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217F"/>
    <w:rsid w:val="00BF44CF"/>
    <w:rsid w:val="00C17A7C"/>
    <w:rsid w:val="00C326B2"/>
    <w:rsid w:val="00C3684A"/>
    <w:rsid w:val="00C41CA6"/>
    <w:rsid w:val="00C5103F"/>
    <w:rsid w:val="00C527C7"/>
    <w:rsid w:val="00C5765C"/>
    <w:rsid w:val="00C626EB"/>
    <w:rsid w:val="00CA76CF"/>
    <w:rsid w:val="00CC0FF9"/>
    <w:rsid w:val="00CD495C"/>
    <w:rsid w:val="00D10122"/>
    <w:rsid w:val="00D11DF9"/>
    <w:rsid w:val="00D135E8"/>
    <w:rsid w:val="00D32EB2"/>
    <w:rsid w:val="00D55232"/>
    <w:rsid w:val="00D66826"/>
    <w:rsid w:val="00D806C4"/>
    <w:rsid w:val="00D85C46"/>
    <w:rsid w:val="00DA30AE"/>
    <w:rsid w:val="00DC1FD1"/>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B7C98"/>
    <w:rsid w:val="00EC1DDD"/>
    <w:rsid w:val="00ED4A9C"/>
    <w:rsid w:val="00ED727E"/>
    <w:rsid w:val="00EE2193"/>
    <w:rsid w:val="00EE3F61"/>
    <w:rsid w:val="00EF41E2"/>
    <w:rsid w:val="00F01A1F"/>
    <w:rsid w:val="00F075DE"/>
    <w:rsid w:val="00F23C43"/>
    <w:rsid w:val="00F72260"/>
    <w:rsid w:val="00F92921"/>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OSDFS02\drive_g$\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spPr>
              <a:ln w="22225" cap="rnd">
                <a:solidFill>
                  <a:schemeClr val="accent1"/>
                </a:solidFill>
              </a:ln>
              <a:effectLst>
                <a:glow rad="139700">
                  <a:schemeClr val="accent1">
                    <a:satMod val="175000"/>
                    <a:alpha val="14000"/>
                  </a:schemeClr>
                </a:glow>
              </a:effectLst>
            </c:spPr>
            <c:extLst>
              <c:ext xmlns:c16="http://schemas.microsoft.com/office/drawing/2014/chart" uri="{C3380CC4-5D6E-409C-BE32-E72D297353CC}">
                <c16:uniqueId val="{00000001-BF6F-41C6-9E29-A34C2B757165}"/>
              </c:ext>
            </c:extLst>
          </c:dPt>
          <c:cat>
            <c:numRef>
              <c:f>Chart!$A$2:$A$157</c:f>
              <c:numCache>
                <c:formatCode>[$-409]d\-mmm\-yy;@</c:formatCode>
                <c:ptCount val="156"/>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numCache>
            </c:numRef>
          </c:cat>
          <c:val>
            <c:numRef>
              <c:f>Chart!$B$2:$B$157</c:f>
              <c:numCache>
                <c:formatCode>_(* #,##0.00_);_(* \(#,##0.00\);_(* "-"??_);_(@_)</c:formatCode>
                <c:ptCount val="156"/>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numCache>
            </c:numRef>
          </c:val>
          <c:smooth val="0"/>
          <c:extLst>
            <c:ext xmlns:c16="http://schemas.microsoft.com/office/drawing/2014/chart" uri="{C3380CC4-5D6E-409C-BE32-E72D297353CC}">
              <c16:uniqueId val="{00000002-BF6F-41C6-9E29-A34C2B757165}"/>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vChe80KvoFqqvESVneO27XluxlE=</DigestValue>
    </Reference>
    <Reference Type="http://www.w3.org/2000/09/xmldsig#Object" URI="#idOfficeObject">
      <DigestMethod Algorithm="http://www.w3.org/2000/09/xmldsig#sha1"/>
      <DigestValue>yq+2BYkLON6IOBkz6Fctk/PEPTA=</DigestValue>
    </Reference>
    <Reference Type="http://uri.etsi.org/01903#SignedProperties" URI="#idSignedProperties">
      <Transforms>
        <Transform Algorithm="http://www.w3.org/TR/2001/REC-xml-c14n-20010315"/>
      </Transforms>
      <DigestMethod Algorithm="http://www.w3.org/2000/09/xmldsig#sha1"/>
      <DigestValue>0LkvgtXjva0sK5K3vqzgKX9/cv0=</DigestValue>
    </Reference>
  </SignedInfo>
  <SignatureValue>t2R+frv76Rc0yIF3LoTwhnunCKiegErIYIfHCacvx9bjspEF4y4lo1l/AkE6JclEU6Vx1v6SEc9d
nKr1b89veQmCu2rOgiYt6vh7Er1a29vq6d4q3FhfVYW/TLBPwPwe0rP1P/0sbw7Z6MmF5arUlMvp
lr+a99jdkt5YpUPxA9s=</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+u4rRLbj8N3qAKi0GZFfuXxKakA=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0/09/xmldsig#sha1"/>
        <DigestValue>Gg0ssGhS0YxG33jqwlfrJistxGw=</DigestValue>
      </Reference>
      <Reference URI="/word/charts/chart1.xml?ContentType=application/vnd.openxmlformats-officedocument.drawingml.chart+xml">
        <DigestMethod Algorithm="http://www.w3.org/2000/09/xmldsig#sha1"/>
        <DigestValue>GcamC/6x30mn2cW7a1RbEt5tp3o=</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ki1X7pHSl9ilxMJkg21p3pewS60=</DigestValue>
      </Reference>
      <Reference URI="/word/fontTable.xml?ContentType=application/vnd.openxmlformats-officedocument.wordprocessingml.fontTable+xml">
        <DigestMethod Algorithm="http://www.w3.org/2000/09/xmldsig#sha1"/>
        <DigestValue>VjrIpPDggyDtj3MV8atvwum42Tc=</DigestValue>
      </Reference>
      <Reference URI="/word/media/image1.emf?ContentType=image/x-emf">
        <DigestMethod Algorithm="http://www.w3.org/2000/09/xmldsig#sha1"/>
        <DigestValue>3DCZxvCOSfbRNDkXih59wvCrXqA=</DigestValue>
      </Reference>
      <Reference URI="/word/numbering.xml?ContentType=application/vnd.openxmlformats-officedocument.wordprocessingml.numbering+xml">
        <DigestMethod Algorithm="http://www.w3.org/2000/09/xmldsig#sha1"/>
        <DigestValue>Nl2Jv2A2bhAkuo5JtXxESq1bY6E=</DigestValue>
      </Reference>
      <Reference URI="/word/settings.xml?ContentType=application/vnd.openxmlformats-officedocument.wordprocessingml.settings+xml">
        <DigestMethod Algorithm="http://www.w3.org/2000/09/xmldsig#sha1"/>
        <DigestValue>fdu+u+f6uRWpfrGoF652GVlkuAk=</DigestValue>
      </Reference>
      <Reference URI="/word/styles.xml?ContentType=application/vnd.openxmlformats-officedocument.wordprocessingml.styles+xml">
        <DigestMethod Algorithm="http://www.w3.org/2000/09/xmldsig#sha1"/>
        <DigestValue>pyfYf9FLrUuAvUvBbjbkrQGHGZs=</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meCxPu7TxFS7X45hNBeHI6M6Mjw=</DigestValue>
      </Reference>
    </Manifest>
    <SignatureProperties>
      <SignatureProperty Id="idSignatureTime" Target="#idPackageSignature">
        <mdssi:SignatureTime xmlns:mdssi="http://schemas.openxmlformats.org/package/2006/digital-signature">
          <mdssi:Format>YYYY-MM-DDThh:mm:ssTZD</mdssi:Format>
          <mdssi:Value>2021-07-15T04:38:58Z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16.0.14131/22</OfficeVersion>
          <ApplicationVersion>16.0.14131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2021-07-15T04:38:58Z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4739</Words>
  <Characters>27015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45</cp:revision>
  <dcterms:created xsi:type="dcterms:W3CDTF">2020-10-12T08:01:00Z</dcterms:created>
  <dcterms:modified xsi:type="dcterms:W3CDTF">2021-07-15T03:52:00Z</dcterms:modified>
</cp:coreProperties>
</file>